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40F" w:rsidRPr="00BA1728" w:rsidRDefault="00F6640F" w:rsidP="00F6640F">
      <w:pPr>
        <w:jc w:val="center"/>
        <w:rPr>
          <w:b/>
          <w:sz w:val="32"/>
          <w:szCs w:val="32"/>
        </w:rPr>
      </w:pPr>
      <w:r w:rsidRPr="00BA1728">
        <w:rPr>
          <w:b/>
          <w:sz w:val="32"/>
          <w:szCs w:val="32"/>
        </w:rPr>
        <w:t>Avis d’Appel d’Offres Ouvert (AAOO)</w:t>
      </w:r>
    </w:p>
    <w:p w:rsidR="00F6640F" w:rsidRPr="00BA1728" w:rsidRDefault="00F6640F" w:rsidP="00F6640F">
      <w:pPr>
        <w:jc w:val="center"/>
        <w:rPr>
          <w:b/>
          <w:bCs/>
          <w:sz w:val="40"/>
        </w:rPr>
      </w:pPr>
    </w:p>
    <w:p w:rsidR="00F6640F" w:rsidRPr="00BA1728" w:rsidRDefault="00F6640F" w:rsidP="00F6640F">
      <w:pPr>
        <w:jc w:val="center"/>
        <w:rPr>
          <w:b/>
          <w:bCs/>
          <w:i/>
          <w:iCs/>
        </w:rPr>
      </w:pPr>
    </w:p>
    <w:p w:rsidR="00F6640F" w:rsidRPr="00BA1728" w:rsidRDefault="00F6640F" w:rsidP="00F6640F">
      <w:pPr>
        <w:jc w:val="center"/>
        <w:rPr>
          <w:b/>
          <w:bCs/>
          <w:i/>
          <w:iCs/>
          <w:sz w:val="28"/>
          <w:szCs w:val="28"/>
        </w:rPr>
      </w:pPr>
      <w:r w:rsidRPr="00BA1728">
        <w:rPr>
          <w:b/>
          <w:bCs/>
          <w:i/>
          <w:iCs/>
          <w:sz w:val="28"/>
          <w:szCs w:val="28"/>
        </w:rPr>
        <w:t>Ministère des Transports et des Infrastructures</w:t>
      </w:r>
    </w:p>
    <w:p w:rsidR="00F6640F" w:rsidRPr="00BA1728" w:rsidRDefault="00F6640F" w:rsidP="00F6640F">
      <w:pPr>
        <w:jc w:val="center"/>
        <w:rPr>
          <w:b/>
          <w:bCs/>
          <w:i/>
          <w:iCs/>
        </w:rPr>
      </w:pPr>
    </w:p>
    <w:p w:rsidR="00F6640F" w:rsidRPr="00BA1728" w:rsidRDefault="00F6640F" w:rsidP="00F6640F">
      <w:pPr>
        <w:jc w:val="center"/>
        <w:rPr>
          <w:b/>
          <w:bCs/>
          <w:i/>
          <w:iCs/>
        </w:rPr>
      </w:pPr>
      <w:r w:rsidRPr="00BA1728">
        <w:rPr>
          <w:b/>
          <w:bCs/>
          <w:i/>
          <w:iCs/>
        </w:rPr>
        <w:t xml:space="preserve">AAOON N°……….. </w:t>
      </w:r>
      <w:proofErr w:type="gramStart"/>
      <w:r w:rsidRPr="00BA1728">
        <w:rPr>
          <w:b/>
          <w:bCs/>
          <w:i/>
          <w:iCs/>
        </w:rPr>
        <w:t>du</w:t>
      </w:r>
      <w:proofErr w:type="gramEnd"/>
      <w:r w:rsidRPr="00BA1728">
        <w:rPr>
          <w:b/>
          <w:bCs/>
          <w:i/>
          <w:iCs/>
        </w:rPr>
        <w:t xml:space="preserve"> ……/2021</w:t>
      </w:r>
    </w:p>
    <w:p w:rsidR="00F6640F" w:rsidRPr="00BA1728" w:rsidRDefault="00F6640F" w:rsidP="00F6640F">
      <w:pPr>
        <w:jc w:val="center"/>
        <w:rPr>
          <w:b/>
          <w:bCs/>
          <w:i/>
          <w:iCs/>
        </w:rPr>
      </w:pPr>
    </w:p>
    <w:p w:rsidR="00F6640F" w:rsidRPr="00BA1728" w:rsidRDefault="00F6640F" w:rsidP="00F6640F">
      <w:pPr>
        <w:jc w:val="center"/>
        <w:rPr>
          <w:b/>
          <w:bCs/>
          <w:i/>
          <w:iCs/>
        </w:rPr>
      </w:pPr>
    </w:p>
    <w:p w:rsidR="00F6640F" w:rsidRPr="00BA1728" w:rsidRDefault="00F6640F" w:rsidP="00F6640F">
      <w:pPr>
        <w:suppressAutoHyphens w:val="0"/>
        <w:overflowPunct/>
        <w:autoSpaceDE/>
        <w:adjustRightInd/>
        <w:spacing w:after="200"/>
        <w:rPr>
          <w:i/>
          <w:iCs/>
        </w:rPr>
      </w:pPr>
      <w:r w:rsidRPr="00BA1728">
        <w:t xml:space="preserve">1. Cet Avis d’appel d’offres fait suite à l’Avis Général de Passation des Marchés paru dans </w:t>
      </w:r>
      <w:r w:rsidRPr="00BA1728">
        <w:rPr>
          <w:i/>
          <w:iCs/>
        </w:rPr>
        <w:t>[</w:t>
      </w:r>
      <w:r w:rsidRPr="00BA1728">
        <w:rPr>
          <w:i/>
          <w:iCs/>
          <w:color w:val="FF0000"/>
        </w:rPr>
        <w:t>Insérer le nom de la publication</w:t>
      </w:r>
      <w:r w:rsidRPr="00BA1728">
        <w:rPr>
          <w:i/>
          <w:iCs/>
        </w:rPr>
        <w:t>]</w:t>
      </w:r>
      <w:r w:rsidRPr="00BA1728">
        <w:t xml:space="preserve"> du</w:t>
      </w:r>
      <w:r w:rsidRPr="00BA1728">
        <w:rPr>
          <w:color w:val="FF0000"/>
        </w:rPr>
        <w:t>………..</w:t>
      </w:r>
      <w:r w:rsidRPr="00BA1728">
        <w:rPr>
          <w:iCs/>
          <w:color w:val="FF0000"/>
        </w:rPr>
        <w:t>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 xml:space="preserve">Le </w:t>
      </w:r>
      <w:r w:rsidRPr="00BA1728">
        <w:rPr>
          <w:b/>
        </w:rPr>
        <w:t>Ministère des Transports et des Infrastructures</w:t>
      </w:r>
      <w:r w:rsidRPr="00BA1728">
        <w:t xml:space="preserve"> a programmé au titre de son budget, exercices 2022, 2023 et 2024 des fonds, afin de financer les </w:t>
      </w:r>
      <w:r w:rsidRPr="00BA1728">
        <w:rPr>
          <w:b/>
        </w:rPr>
        <w:t xml:space="preserve">travaux de construction et de bitumage de la route </w:t>
      </w:r>
      <w:proofErr w:type="spellStart"/>
      <w:r w:rsidRPr="00BA1728">
        <w:rPr>
          <w:b/>
        </w:rPr>
        <w:t>Dioïla-</w:t>
      </w:r>
      <w:r>
        <w:rPr>
          <w:b/>
        </w:rPr>
        <w:t>Massigui-Koualé</w:t>
      </w:r>
      <w:r w:rsidRPr="00BA1728">
        <w:rPr>
          <w:b/>
        </w:rPr>
        <w:t>-Kébila</w:t>
      </w:r>
      <w:proofErr w:type="spellEnd"/>
      <w:r w:rsidRPr="00BA1728">
        <w:rPr>
          <w:b/>
        </w:rPr>
        <w:t xml:space="preserve">, y compris le contournement de </w:t>
      </w:r>
      <w:proofErr w:type="spellStart"/>
      <w:r w:rsidRPr="00BA1728">
        <w:rPr>
          <w:b/>
        </w:rPr>
        <w:t>Koualé</w:t>
      </w:r>
      <w:proofErr w:type="spellEnd"/>
      <w:r w:rsidRPr="00BA1728">
        <w:rPr>
          <w:b/>
        </w:rPr>
        <w:t xml:space="preserve">, ainsi que de l’aménagement des voiries de </w:t>
      </w:r>
      <w:proofErr w:type="spellStart"/>
      <w:r w:rsidRPr="00BA1728">
        <w:rPr>
          <w:b/>
        </w:rPr>
        <w:t>Dioïla</w:t>
      </w:r>
      <w:proofErr w:type="spellEnd"/>
      <w:r w:rsidRPr="00BA1728">
        <w:t xml:space="preserve"> et a l’intention  d’utiliser une partie de ces fonds pour effectuer des paiements au titre du Marché des «</w:t>
      </w:r>
      <w:r w:rsidRPr="00BA1728">
        <w:rPr>
          <w:b/>
        </w:rPr>
        <w:t xml:space="preserve"> Travaux de construction et de bitumage de la route </w:t>
      </w:r>
      <w:proofErr w:type="spellStart"/>
      <w:r w:rsidRPr="00BA1728">
        <w:rPr>
          <w:b/>
        </w:rPr>
        <w:t>Dioïla</w:t>
      </w:r>
      <w:proofErr w:type="spellEnd"/>
      <w:r w:rsidRPr="00BA1728">
        <w:rPr>
          <w:b/>
        </w:rPr>
        <w:t>-Togo</w:t>
      </w:r>
      <w:r>
        <w:rPr>
          <w:b/>
        </w:rPr>
        <w:t>-</w:t>
      </w:r>
      <w:proofErr w:type="spellStart"/>
      <w:r>
        <w:rPr>
          <w:b/>
        </w:rPr>
        <w:t>Domba</w:t>
      </w:r>
      <w:proofErr w:type="spellEnd"/>
      <w:r w:rsidRPr="00BA1728">
        <w:rPr>
          <w:b/>
        </w:rPr>
        <w:t xml:space="preserve">, y compris l’aménagement des voiries de </w:t>
      </w:r>
      <w:proofErr w:type="spellStart"/>
      <w:r w:rsidRPr="00BA1728">
        <w:rPr>
          <w:b/>
        </w:rPr>
        <w:t>Dioïla</w:t>
      </w:r>
      <w:proofErr w:type="spellEnd"/>
      <w:r>
        <w:rPr>
          <w:b/>
        </w:rPr>
        <w:t xml:space="preserve"> en deux lots</w:t>
      </w:r>
      <w:r w:rsidRPr="00BA1728">
        <w:t> ».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>Le Ministre des Transports et des Infrastructures sollicite des offres fermées de la part de candidats éligibles et répondant aux qualifications requises pour réaliser les</w:t>
      </w:r>
      <w:r w:rsidRPr="00BA1728">
        <w:rPr>
          <w:b/>
          <w:i/>
          <w:iCs/>
        </w:rPr>
        <w:t xml:space="preserve"> travaux de construction et de bitumage de la route </w:t>
      </w:r>
      <w:bookmarkStart w:id="0" w:name="_Hlk88490685"/>
      <w:proofErr w:type="spellStart"/>
      <w:r w:rsidRPr="00BA1728">
        <w:rPr>
          <w:b/>
          <w:i/>
          <w:iCs/>
        </w:rPr>
        <w:t>Dioïla</w:t>
      </w:r>
      <w:proofErr w:type="spellEnd"/>
      <w:r w:rsidRPr="00BA1728">
        <w:rPr>
          <w:b/>
          <w:i/>
          <w:iCs/>
        </w:rPr>
        <w:t>-Togo</w:t>
      </w:r>
      <w:bookmarkEnd w:id="0"/>
      <w:r>
        <w:rPr>
          <w:b/>
          <w:i/>
          <w:iCs/>
        </w:rPr>
        <w:t>-</w:t>
      </w:r>
      <w:proofErr w:type="spellStart"/>
      <w:r>
        <w:rPr>
          <w:b/>
          <w:i/>
          <w:iCs/>
        </w:rPr>
        <w:t>Domba</w:t>
      </w:r>
      <w:proofErr w:type="spellEnd"/>
      <w:r w:rsidRPr="00BA1728">
        <w:rPr>
          <w:b/>
          <w:i/>
          <w:iCs/>
        </w:rPr>
        <w:t xml:space="preserve">, y compris l’aménagement des voiries de </w:t>
      </w:r>
      <w:proofErr w:type="spellStart"/>
      <w:r w:rsidRPr="00BA1728">
        <w:rPr>
          <w:b/>
          <w:i/>
          <w:iCs/>
        </w:rPr>
        <w:t>Dioïla</w:t>
      </w:r>
      <w:proofErr w:type="spellEnd"/>
      <w:r w:rsidRPr="00BA1728">
        <w:t xml:space="preserve"> </w:t>
      </w:r>
      <w:r>
        <w:t xml:space="preserve">en deux lots, </w:t>
      </w:r>
      <w:r w:rsidRPr="00BA1728">
        <w:t>selon les caractéristiques suivantes :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0"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Itinéraire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proofErr w:type="spellStart"/>
      <w:r w:rsidRPr="00BA1728">
        <w:rPr>
          <w:rFonts w:ascii="Times New Roman" w:hAnsi="Times New Roman" w:cs="Times New Roman"/>
          <w:sz w:val="24"/>
          <w:szCs w:val="24"/>
          <w:lang w:val="fr-FR"/>
        </w:rPr>
        <w:t>Dioïla</w:t>
      </w:r>
      <w:proofErr w:type="spellEnd"/>
      <w:r w:rsidRPr="00BA1728">
        <w:rPr>
          <w:rFonts w:ascii="Times New Roman" w:hAnsi="Times New Roman" w:cs="Times New Roman"/>
          <w:sz w:val="24"/>
          <w:szCs w:val="24"/>
          <w:lang w:val="fr-FR"/>
        </w:rPr>
        <w:t>-Togo-</w:t>
      </w:r>
      <w:proofErr w:type="spellStart"/>
      <w:r w:rsidRPr="00BA1728">
        <w:rPr>
          <w:rFonts w:ascii="Times New Roman" w:hAnsi="Times New Roman" w:cs="Times New Roman"/>
          <w:sz w:val="24"/>
          <w:szCs w:val="24"/>
          <w:lang w:val="fr-FR"/>
        </w:rPr>
        <w:t>Domba</w:t>
      </w:r>
      <w:proofErr w:type="spellEnd"/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 et la voirie de </w:t>
      </w:r>
      <w:proofErr w:type="spellStart"/>
      <w:r w:rsidRPr="00BA1728">
        <w:rPr>
          <w:rFonts w:ascii="Times New Roman" w:hAnsi="Times New Roman" w:cs="Times New Roman"/>
          <w:sz w:val="24"/>
          <w:szCs w:val="24"/>
          <w:lang w:val="fr-FR"/>
        </w:rPr>
        <w:t>Dioïla</w:t>
      </w:r>
      <w:proofErr w:type="spellEnd"/>
      <w:r w:rsidRPr="00BA1728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0"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Type de travaux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> : Bitumage en 2x1 voies ;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0"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Linéaire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>
        <w:rPr>
          <w:rFonts w:ascii="Times New Roman" w:hAnsi="Times New Roman" w:cs="Times New Roman"/>
          <w:sz w:val="24"/>
          <w:szCs w:val="24"/>
          <w:lang w:val="fr-FR"/>
        </w:rPr>
        <w:t>104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 km et 6,200 km de voiries à </w:t>
      </w:r>
      <w:proofErr w:type="spellStart"/>
      <w:r w:rsidRPr="00BA1728">
        <w:rPr>
          <w:rFonts w:ascii="Times New Roman" w:hAnsi="Times New Roman" w:cs="Times New Roman"/>
          <w:sz w:val="24"/>
          <w:szCs w:val="24"/>
          <w:lang w:val="fr-FR"/>
        </w:rPr>
        <w:t>Dioïla</w:t>
      </w:r>
      <w:proofErr w:type="spellEnd"/>
      <w:r w:rsidRPr="00BA1728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0"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Chaussée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F6640F" w:rsidRPr="00BA1728" w:rsidRDefault="00F6640F" w:rsidP="00F6640F">
      <w:pPr>
        <w:numPr>
          <w:ilvl w:val="0"/>
          <w:numId w:val="6"/>
        </w:numPr>
        <w:ind w:left="1134"/>
      </w:pPr>
      <w:r w:rsidRPr="00BA1728">
        <w:t>7,40 m de largeur en section courante et en traversée d’agglomération ;</w:t>
      </w:r>
    </w:p>
    <w:p w:rsidR="00F6640F" w:rsidRPr="00BA1728" w:rsidRDefault="00F6640F" w:rsidP="00F6640F">
      <w:pPr>
        <w:numPr>
          <w:ilvl w:val="0"/>
          <w:numId w:val="6"/>
        </w:numPr>
        <w:ind w:left="1134"/>
      </w:pPr>
      <w:r w:rsidRPr="00BA1728">
        <w:t>1,5 m de largeur d’accotement en section courante et 2,5 m de largeur dans les traversées d’agglomération et voiries.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12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Structure de chaussée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F6640F" w:rsidRPr="00BA1728" w:rsidRDefault="00F6640F" w:rsidP="00F6640F">
      <w:pPr>
        <w:pStyle w:val="BoulletsR1"/>
        <w:numPr>
          <w:ilvl w:val="2"/>
          <w:numId w:val="5"/>
        </w:numPr>
        <w:spacing w:before="0" w:after="0" w:line="280" w:lineRule="exact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Sous-couche de fondation éventuelle en graveleux latéritique d’une épaisseur de 0.25 m après compactage ;</w:t>
      </w:r>
    </w:p>
    <w:p w:rsidR="00F6640F" w:rsidRPr="00BA1728" w:rsidRDefault="00F6640F" w:rsidP="00F6640F">
      <w:pPr>
        <w:pStyle w:val="BoulletsR1"/>
        <w:numPr>
          <w:ilvl w:val="2"/>
          <w:numId w:val="5"/>
        </w:numPr>
        <w:spacing w:before="0" w:after="0" w:line="280" w:lineRule="exact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Couche de fondation en graveleux latéritique d’une épaisseur de 0.25 m après compactage ;</w:t>
      </w:r>
    </w:p>
    <w:p w:rsidR="00F6640F" w:rsidRPr="00BA1728" w:rsidRDefault="00F6640F" w:rsidP="00F6640F">
      <w:pPr>
        <w:pStyle w:val="BoulletsR1"/>
        <w:numPr>
          <w:ilvl w:val="2"/>
          <w:numId w:val="5"/>
        </w:numPr>
        <w:spacing w:before="0" w:after="0" w:line="280" w:lineRule="exact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Couche de base en grave concassée 0/20 d’épaisseur 0.25 m après compactage ;</w:t>
      </w:r>
    </w:p>
    <w:p w:rsidR="00F6640F" w:rsidRPr="00BA1728" w:rsidRDefault="00F6640F" w:rsidP="00F6640F">
      <w:pPr>
        <w:pStyle w:val="BoulletsR1"/>
        <w:numPr>
          <w:ilvl w:val="2"/>
          <w:numId w:val="5"/>
        </w:numPr>
        <w:spacing w:before="0" w:after="0" w:line="280" w:lineRule="exact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Couche de roulement en béton semi grenu 0/14 d’épaisseur 0.06 m</w:t>
      </w:r>
    </w:p>
    <w:p w:rsidR="00F6640F" w:rsidRPr="00BA1728" w:rsidRDefault="00F6640F" w:rsidP="00F6640F">
      <w:pPr>
        <w:pStyle w:val="BoulletsR1"/>
        <w:numPr>
          <w:ilvl w:val="1"/>
          <w:numId w:val="5"/>
        </w:numPr>
        <w:spacing w:before="120" w:line="280" w:lineRule="exact"/>
        <w:ind w:left="709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Accotement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:rsidR="00F6640F" w:rsidRPr="00BA1728" w:rsidRDefault="00F6640F" w:rsidP="00F6640F">
      <w:pPr>
        <w:pStyle w:val="BoulletsR1"/>
        <w:numPr>
          <w:ilvl w:val="2"/>
          <w:numId w:val="5"/>
        </w:numPr>
        <w:spacing w:before="0" w:after="0" w:line="280" w:lineRule="exact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Couche de base en graveleux latéritique d’épaisseur 0.25 m après compactage en section courante et en grave concassée 0/20 d’épaisseur 0.25 m après compactage en traversée d’agglomération et voiries ;</w:t>
      </w:r>
    </w:p>
    <w:p w:rsidR="00F6640F" w:rsidRPr="00BA1728" w:rsidRDefault="00F6640F" w:rsidP="00F6640F">
      <w:pPr>
        <w:pStyle w:val="BoulletsR1"/>
        <w:numPr>
          <w:ilvl w:val="2"/>
          <w:numId w:val="5"/>
        </w:numPr>
        <w:spacing w:before="0" w:line="280" w:lineRule="exact"/>
        <w:ind w:left="1134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Couche de roulement en bicouche en section courante et en béton semi grenu 0/14 d’épaisseur 0.06 m en traversée d’agglomération et voiries.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Construction de </w:t>
      </w: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deux (02) ponts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 à poutres en béton armé de </w:t>
      </w: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3 travées de 20 m au PK 13+230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 et de </w:t>
      </w: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2 travées de 20 m au PK 47+270,6 ;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0"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t>Construction de dalots et d’ouvrages d’assainissement ;</w:t>
      </w:r>
    </w:p>
    <w:p w:rsidR="00F6640F" w:rsidRPr="00BA1728" w:rsidRDefault="00F6640F" w:rsidP="00F6640F">
      <w:pPr>
        <w:pStyle w:val="BoulletsR1"/>
        <w:numPr>
          <w:ilvl w:val="0"/>
          <w:numId w:val="5"/>
        </w:numPr>
        <w:spacing w:before="0" w:after="0" w:line="280" w:lineRule="exact"/>
        <w:ind w:left="357" w:hanging="357"/>
        <w:rPr>
          <w:rFonts w:ascii="Times New Roman" w:hAnsi="Times New Roman" w:cs="Times New Roman"/>
          <w:sz w:val="24"/>
          <w:szCs w:val="24"/>
          <w:lang w:val="fr-FR"/>
        </w:rPr>
      </w:pPr>
      <w:r w:rsidRPr="00BA1728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Mise en place de la </w:t>
      </w: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signalisation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, des </w:t>
      </w: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équipements de sécurité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 xml:space="preserve"> et de </w:t>
      </w:r>
      <w:r w:rsidRPr="00BA1728">
        <w:rPr>
          <w:rFonts w:ascii="Times New Roman" w:hAnsi="Times New Roman" w:cs="Times New Roman"/>
          <w:b/>
          <w:bCs/>
          <w:sz w:val="24"/>
          <w:szCs w:val="24"/>
          <w:lang w:val="fr-FR"/>
        </w:rPr>
        <w:t>l’éclairage public</w:t>
      </w:r>
      <w:r w:rsidRPr="00BA1728">
        <w:rPr>
          <w:rFonts w:ascii="Times New Roman" w:hAnsi="Times New Roman" w:cs="Times New Roman"/>
          <w:sz w:val="24"/>
          <w:szCs w:val="24"/>
          <w:lang w:val="fr-FR"/>
        </w:rPr>
        <w:t> ;</w:t>
      </w:r>
    </w:p>
    <w:p w:rsidR="00F6640F" w:rsidRPr="00840819" w:rsidRDefault="00F6640F" w:rsidP="00F6640F">
      <w:pPr>
        <w:pStyle w:val="BoulletsR1"/>
        <w:numPr>
          <w:ilvl w:val="0"/>
          <w:numId w:val="5"/>
        </w:numPr>
        <w:spacing w:before="0" w:line="280" w:lineRule="exact"/>
        <w:ind w:left="357" w:hanging="357"/>
        <w:rPr>
          <w:lang w:val="fr-FR"/>
        </w:rPr>
      </w:pPr>
      <w:r w:rsidRPr="00840819">
        <w:rPr>
          <w:rFonts w:ascii="Times New Roman" w:hAnsi="Times New Roman" w:cs="Times New Roman"/>
          <w:sz w:val="24"/>
          <w:szCs w:val="24"/>
          <w:lang w:val="fr-FR"/>
        </w:rPr>
        <w:t xml:space="preserve">Mise en œuvre du </w:t>
      </w:r>
      <w:r w:rsidRPr="00840819">
        <w:rPr>
          <w:rFonts w:ascii="Times New Roman" w:hAnsi="Times New Roman" w:cs="Times New Roman"/>
          <w:b/>
          <w:bCs/>
          <w:sz w:val="24"/>
          <w:szCs w:val="24"/>
          <w:lang w:val="fr-FR"/>
        </w:rPr>
        <w:t>Plan de Gestion Environnementale et Sociale (PGES),</w:t>
      </w:r>
      <w:r w:rsidRPr="00840819">
        <w:rPr>
          <w:rFonts w:ascii="Times New Roman" w:hAnsi="Times New Roman" w:cs="Times New Roman"/>
          <w:sz w:val="24"/>
          <w:szCs w:val="24"/>
          <w:lang w:val="fr-FR"/>
        </w:rPr>
        <w:t xml:space="preserve"> etc.</w:t>
      </w:r>
    </w:p>
    <w:p w:rsidR="00F6640F" w:rsidRPr="00BA1728" w:rsidRDefault="00F6640F" w:rsidP="00F6640F">
      <w:pPr>
        <w:suppressAutoHyphens w:val="0"/>
        <w:overflowPunct/>
        <w:autoSpaceDE/>
        <w:adjustRightInd/>
        <w:spacing w:before="240" w:after="200"/>
        <w:textAlignment w:val="auto"/>
      </w:pPr>
      <w:r w:rsidRPr="00BA1728">
        <w:t xml:space="preserve">Les travaux seront exécutés en </w:t>
      </w:r>
      <w:r>
        <w:t>deux</w:t>
      </w:r>
      <w:r w:rsidRPr="00BA1728">
        <w:t xml:space="preserve"> lots distincts comme suit : </w:t>
      </w:r>
    </w:p>
    <w:p w:rsidR="00F6640F" w:rsidRPr="00BA1728" w:rsidRDefault="00F6640F" w:rsidP="00F6640F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ind w:left="426"/>
        <w:textAlignment w:val="auto"/>
      </w:pPr>
      <w:r w:rsidRPr="00BA1728">
        <w:t xml:space="preserve">Lot n°1 : section </w:t>
      </w:r>
      <w:proofErr w:type="spellStart"/>
      <w:r w:rsidRPr="00BA1728">
        <w:t>Dioïla</w:t>
      </w:r>
      <w:proofErr w:type="spellEnd"/>
      <w:r w:rsidRPr="00BA1728">
        <w:t xml:space="preserve">-Togo (52 km) </w:t>
      </w:r>
      <w:r>
        <w:t xml:space="preserve">y compris les </w:t>
      </w:r>
      <w:r w:rsidRPr="00BA1728">
        <w:t xml:space="preserve">voiries de </w:t>
      </w:r>
      <w:proofErr w:type="spellStart"/>
      <w:r w:rsidRPr="00BA1728">
        <w:t>Dioïla</w:t>
      </w:r>
      <w:proofErr w:type="spellEnd"/>
      <w:r w:rsidRPr="00BA1728">
        <w:t xml:space="preserve"> (6,5 km)</w:t>
      </w:r>
      <w:r>
        <w:t xml:space="preserve"> </w:t>
      </w:r>
      <w:r w:rsidRPr="00BA1728">
        <w:t xml:space="preserve">; pour un délai d’exécution de </w:t>
      </w:r>
      <w:r w:rsidRPr="00357BCA">
        <w:rPr>
          <w:color w:val="5B9BD5" w:themeColor="accent1"/>
        </w:rPr>
        <w:t>36 mois</w:t>
      </w:r>
      <w:r w:rsidRPr="00357BCA">
        <w:rPr>
          <w:rFonts w:cs="Times New Roman"/>
          <w:color w:val="5B9BD5" w:themeColor="accent1"/>
        </w:rPr>
        <w:t xml:space="preserve"> </w:t>
      </w:r>
      <w:r w:rsidRPr="00BA1728">
        <w:rPr>
          <w:rFonts w:cs="Times New Roman"/>
          <w:color w:val="000000" w:themeColor="text1"/>
        </w:rPr>
        <w:t xml:space="preserve">y compris </w:t>
      </w:r>
      <w:r>
        <w:rPr>
          <w:rFonts w:cs="Times New Roman"/>
          <w:color w:val="000000" w:themeColor="text1"/>
        </w:rPr>
        <w:t>la</w:t>
      </w:r>
      <w:r w:rsidRPr="00BA1728">
        <w:rPr>
          <w:rFonts w:cs="Times New Roman"/>
          <w:color w:val="000000" w:themeColor="text1"/>
        </w:rPr>
        <w:t xml:space="preserve"> saison de</w:t>
      </w:r>
      <w:r>
        <w:rPr>
          <w:rFonts w:cs="Times New Roman"/>
          <w:color w:val="000000" w:themeColor="text1"/>
        </w:rPr>
        <w:t>s</w:t>
      </w:r>
      <w:r w:rsidRPr="00BA1728">
        <w:rPr>
          <w:rFonts w:cs="Times New Roman"/>
          <w:color w:val="000000" w:themeColor="text1"/>
        </w:rPr>
        <w:t xml:space="preserve"> pluies</w:t>
      </w:r>
      <w:r w:rsidRPr="00BA1728">
        <w:t> ;</w:t>
      </w:r>
    </w:p>
    <w:p w:rsidR="00F6640F" w:rsidRPr="00BA1728" w:rsidRDefault="00F6640F" w:rsidP="00F6640F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ind w:left="426"/>
        <w:textAlignment w:val="auto"/>
      </w:pPr>
      <w:r w:rsidRPr="00BA1728">
        <w:t>Lot n°2 : section Togo-</w:t>
      </w:r>
      <w:proofErr w:type="spellStart"/>
      <w:r w:rsidRPr="00BA1728">
        <w:t>Domba</w:t>
      </w:r>
      <w:proofErr w:type="spellEnd"/>
      <w:r w:rsidRPr="00BA1728">
        <w:t xml:space="preserve"> (52 km) ; pour un délai d’exécution de 24 mois </w:t>
      </w:r>
      <w:r w:rsidRPr="00BA1728">
        <w:rPr>
          <w:rFonts w:cs="Times New Roman"/>
          <w:color w:val="000000" w:themeColor="text1"/>
        </w:rPr>
        <w:t>y compris l</w:t>
      </w:r>
      <w:r>
        <w:rPr>
          <w:rFonts w:cs="Times New Roman"/>
          <w:color w:val="000000" w:themeColor="text1"/>
        </w:rPr>
        <w:t>a</w:t>
      </w:r>
      <w:r w:rsidRPr="00BA1728">
        <w:rPr>
          <w:rFonts w:cs="Times New Roman"/>
          <w:color w:val="000000" w:themeColor="text1"/>
        </w:rPr>
        <w:t xml:space="preserve"> saison de</w:t>
      </w:r>
      <w:r>
        <w:rPr>
          <w:rFonts w:cs="Times New Roman"/>
          <w:color w:val="000000" w:themeColor="text1"/>
        </w:rPr>
        <w:t>s</w:t>
      </w:r>
      <w:r w:rsidRPr="00BA1728">
        <w:rPr>
          <w:rFonts w:cs="Times New Roman"/>
          <w:color w:val="000000" w:themeColor="text1"/>
        </w:rPr>
        <w:t xml:space="preserve"> pluies</w:t>
      </w:r>
      <w:r>
        <w:rPr>
          <w:rFonts w:cs="Times New Roman"/>
          <w:color w:val="000000" w:themeColor="text1"/>
        </w:rPr>
        <w:t>.</w:t>
      </w:r>
    </w:p>
    <w:p w:rsidR="00F6640F" w:rsidRDefault="00F6640F" w:rsidP="00F6640F">
      <w:pPr>
        <w:pStyle w:val="Paragraphedeliste"/>
        <w:suppressAutoHyphens w:val="0"/>
        <w:overflowPunct/>
        <w:autoSpaceDE/>
        <w:adjustRightInd/>
        <w:ind w:left="426"/>
        <w:textAlignment w:val="auto"/>
        <w:rPr>
          <w:color w:val="FF0000"/>
        </w:rPr>
      </w:pP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>La passation du Marché sera conduite par Appel d’offres ouvert tel que défini dans le Code des Marchés publics à l’article 50</w:t>
      </w:r>
      <w:r w:rsidRPr="00BA1728">
        <w:rPr>
          <w:b/>
          <w:i/>
          <w:iCs/>
        </w:rPr>
        <w:t>,</w:t>
      </w:r>
      <w:r w:rsidRPr="00BA1728">
        <w:t xml:space="preserve"> et ouvert à tous les candidats éligibles. Les soumissionnaires ont la possibilité de soumissionner pour un, plusieurs ou l’ensemble des lots, </w:t>
      </w:r>
      <w:r w:rsidRPr="00BA1728">
        <w:rPr>
          <w:b/>
          <w:bCs/>
          <w:color w:val="0070C0"/>
        </w:rPr>
        <w:t>cependant un soumissionnaire ne peut être attributaire que d’un seul lot</w:t>
      </w:r>
      <w:r w:rsidRPr="00BA1728">
        <w:t>. Dans le cas où ils soumissionnent pour plusieurs lots ou l’ensemble des lots, ils devront présenter une soumission séparée pour chaque lot.</w:t>
      </w:r>
      <w:r>
        <w:t xml:space="preserve"> </w:t>
      </w:r>
      <w:r w:rsidRPr="00840819">
        <w:rPr>
          <w:b/>
          <w:bCs/>
          <w:color w:val="5B9BD5" w:themeColor="accent1"/>
        </w:rPr>
        <w:t>Les soumissionnaires devront signifier leurs préférences pour l’un des lots.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color w:val="0070C0"/>
        </w:rPr>
      </w:pPr>
      <w:r w:rsidRPr="00BA1728">
        <w:t xml:space="preserve">Les candidats intéressés peuvent obtenir des informations auprès de la </w:t>
      </w:r>
      <w:r w:rsidRPr="00BA1728">
        <w:rPr>
          <w:b/>
          <w:i/>
          <w:iCs/>
          <w:color w:val="0070C0"/>
        </w:rPr>
        <w:t xml:space="preserve">Direction Générale des Routes ; Avenue de la Liberté face au Grand Hôtel, Bamako-Mali, BP 1758, Téléphone </w:t>
      </w:r>
      <w:r w:rsidRPr="00BA1728">
        <w:rPr>
          <w:rFonts w:cs="Times New Roman"/>
          <w:b/>
          <w:color w:val="0070C0"/>
        </w:rPr>
        <w:t xml:space="preserve">(223) 20 23 60 88/20 22 40 96, emails : samake1@hotmail.com/sounfsy@gmail.com </w:t>
      </w:r>
      <w:r w:rsidRPr="00BA1728">
        <w:t xml:space="preserve">et prendre connaissance des documents d’Appel d’offres à l’adresse mentionnée ci-après : </w:t>
      </w:r>
      <w:r w:rsidRPr="00BA1728">
        <w:rPr>
          <w:b/>
          <w:color w:val="0070C0"/>
        </w:rPr>
        <w:t xml:space="preserve">Direction des Finances et du Matériel du Ministère des Transports et des Infrastructures, Avenue de la liberté face au grand Hôtel, BP 78, Bamako, Téléphone </w:t>
      </w:r>
      <w:r w:rsidRPr="00BA1728">
        <w:rPr>
          <w:rFonts w:cs="Times New Roman"/>
          <w:b/>
          <w:bCs/>
          <w:color w:val="0070C0"/>
        </w:rPr>
        <w:t>(223) 20 22 23 81/20 23 14 50, Fax (223) 20 23 90 60 Bamako</w:t>
      </w:r>
      <w:r w:rsidRPr="00BA1728">
        <w:rPr>
          <w:b/>
          <w:color w:val="0070C0"/>
        </w:rPr>
        <w:t xml:space="preserve"> de 08H00mn à 16H00mn TU ( heures locales).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 xml:space="preserve">Les exigences en matière de qualifications sont : Voir le DPAO pour les informations détaillées. </w:t>
      </w:r>
    </w:p>
    <w:p w:rsidR="00F6640F" w:rsidRPr="00BA1728" w:rsidRDefault="00F6640F" w:rsidP="00F6640F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textAlignment w:val="auto"/>
      </w:pPr>
      <w:r w:rsidRPr="00BA1728">
        <w:t>Bilan des trois dernières années (2018, 2019 et 2020) démontrant la solidité actuelle de la position financière du Soumissionnaire et sa profitabilité à long terme. « Les bilans doivent être certifiés par un Expert-comptable agréé ou attestés par un comptable agréé inscrit à l’Ordre et certifié par les impôts ».</w:t>
      </w:r>
    </w:p>
    <w:p w:rsidR="00F6640F" w:rsidRPr="00BA1728" w:rsidRDefault="00F6640F" w:rsidP="00F6640F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textAlignment w:val="auto"/>
        <w:rPr>
          <w:color w:val="000000" w:themeColor="text1"/>
        </w:rPr>
      </w:pPr>
      <w:r w:rsidRPr="00BA1728">
        <w:t xml:space="preserve">avoir réalisé au cours des trois (03) dernières années (2018, 2019 </w:t>
      </w:r>
      <w:r w:rsidRPr="00BA1728">
        <w:rPr>
          <w:color w:val="000000" w:themeColor="text1"/>
        </w:rPr>
        <w:t>et 2020) un chiffre d’affaires annuel moyen au moins égal à</w:t>
      </w:r>
      <w:r w:rsidRPr="00BA1728">
        <w:rPr>
          <w:b/>
          <w:color w:val="000000" w:themeColor="text1"/>
        </w:rPr>
        <w:t xml:space="preserve"> </w:t>
      </w:r>
      <w:r>
        <w:rPr>
          <w:b/>
          <w:color w:val="0070C0"/>
        </w:rPr>
        <w:t>Vingt</w:t>
      </w:r>
      <w:r w:rsidRPr="00BA1728">
        <w:rPr>
          <w:b/>
          <w:color w:val="0070C0"/>
        </w:rPr>
        <w:t xml:space="preserve"> milliards (</w:t>
      </w:r>
      <w:r>
        <w:rPr>
          <w:b/>
          <w:color w:val="0070C0"/>
        </w:rPr>
        <w:t>20</w:t>
      </w:r>
      <w:r w:rsidRPr="00BA1728">
        <w:rPr>
          <w:b/>
          <w:color w:val="0070C0"/>
        </w:rPr>
        <w:t xml:space="preserve"> 000 000 000) Francs CFA </w:t>
      </w:r>
      <w:r>
        <w:rPr>
          <w:b/>
          <w:color w:val="0070C0"/>
        </w:rPr>
        <w:t xml:space="preserve">TTC </w:t>
      </w:r>
      <w:r w:rsidRPr="00BA1728">
        <w:rPr>
          <w:color w:val="000000" w:themeColor="text1"/>
        </w:rPr>
        <w:t xml:space="preserve">pour </w:t>
      </w:r>
      <w:r>
        <w:rPr>
          <w:color w:val="000000" w:themeColor="text1"/>
        </w:rPr>
        <w:t>le l</w:t>
      </w:r>
      <w:r w:rsidRPr="00BA1728">
        <w:rPr>
          <w:color w:val="000000" w:themeColor="text1"/>
        </w:rPr>
        <w:t>ot n°1 et</w:t>
      </w:r>
      <w:r w:rsidRPr="00BA1728">
        <w:rPr>
          <w:b/>
          <w:color w:val="000000" w:themeColor="text1"/>
        </w:rPr>
        <w:t xml:space="preserve"> </w:t>
      </w:r>
      <w:r>
        <w:rPr>
          <w:b/>
          <w:color w:val="0070C0"/>
        </w:rPr>
        <w:t>Quinze</w:t>
      </w:r>
      <w:r w:rsidRPr="00BA1728">
        <w:rPr>
          <w:b/>
          <w:color w:val="0070C0"/>
        </w:rPr>
        <w:t xml:space="preserve"> milliards Francs CFA (</w:t>
      </w:r>
      <w:r>
        <w:rPr>
          <w:b/>
          <w:color w:val="0070C0"/>
        </w:rPr>
        <w:t>15</w:t>
      </w:r>
      <w:r w:rsidRPr="00BA1728">
        <w:rPr>
          <w:b/>
          <w:color w:val="0070C0"/>
        </w:rPr>
        <w:t> 000 000 000 F.CFA</w:t>
      </w:r>
      <w:r>
        <w:rPr>
          <w:b/>
          <w:color w:val="0070C0"/>
        </w:rPr>
        <w:t xml:space="preserve"> TTC</w:t>
      </w:r>
      <w:r w:rsidRPr="00BA1728">
        <w:rPr>
          <w:b/>
          <w:color w:val="0070C0"/>
        </w:rPr>
        <w:t xml:space="preserve">) </w:t>
      </w:r>
      <w:r w:rsidRPr="00BA1728">
        <w:rPr>
          <w:color w:val="000000" w:themeColor="text1"/>
        </w:rPr>
        <w:t>pour le lot n°</w:t>
      </w:r>
      <w:r>
        <w:rPr>
          <w:color w:val="000000" w:themeColor="text1"/>
        </w:rPr>
        <w:t>2</w:t>
      </w:r>
      <w:r w:rsidRPr="00BA1728">
        <w:rPr>
          <w:b/>
          <w:color w:val="000000" w:themeColor="text1"/>
        </w:rPr>
        <w:t>.</w:t>
      </w:r>
      <w:r w:rsidRPr="00BA1728">
        <w:rPr>
          <w:color w:val="000000" w:themeColor="text1"/>
        </w:rPr>
        <w:t xml:space="preserve"> </w:t>
      </w:r>
    </w:p>
    <w:p w:rsidR="00F6640F" w:rsidRPr="00BA1728" w:rsidRDefault="00F6640F" w:rsidP="00F6640F">
      <w:pPr>
        <w:pStyle w:val="Paragraphedeliste"/>
        <w:numPr>
          <w:ilvl w:val="0"/>
          <w:numId w:val="3"/>
        </w:numPr>
        <w:suppressAutoHyphens w:val="0"/>
        <w:overflowPunct/>
        <w:autoSpaceDE/>
        <w:adjustRightInd/>
        <w:textAlignment w:val="auto"/>
        <w:rPr>
          <w:b/>
          <w:color w:val="000000" w:themeColor="text1"/>
        </w:rPr>
      </w:pPr>
      <w:r w:rsidRPr="00BA1728">
        <w:rPr>
          <w:color w:val="000000" w:themeColor="text1"/>
        </w:rPr>
        <w:t>avoir une capacité de financement d’un montant de :</w:t>
      </w:r>
      <w:r w:rsidRPr="00BA1728">
        <w:rPr>
          <w:b/>
          <w:color w:val="000000" w:themeColor="text1"/>
        </w:rPr>
        <w:t xml:space="preserve"> </w:t>
      </w:r>
      <w:r>
        <w:rPr>
          <w:b/>
          <w:color w:val="0070C0"/>
        </w:rPr>
        <w:t>six</w:t>
      </w:r>
      <w:r w:rsidRPr="00BA1728">
        <w:rPr>
          <w:b/>
          <w:color w:val="0070C0"/>
        </w:rPr>
        <w:t xml:space="preserve"> milliards (</w:t>
      </w:r>
      <w:r>
        <w:rPr>
          <w:b/>
          <w:color w:val="0070C0"/>
        </w:rPr>
        <w:t>6</w:t>
      </w:r>
      <w:r w:rsidRPr="00BA1728">
        <w:rPr>
          <w:b/>
          <w:color w:val="0070C0"/>
        </w:rPr>
        <w:t xml:space="preserve"> 000 000 000) Francs CFA</w:t>
      </w:r>
      <w:r w:rsidRPr="00BA1728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pour le lot</w:t>
      </w:r>
      <w:r w:rsidRPr="00BA1728">
        <w:rPr>
          <w:color w:val="000000" w:themeColor="text1"/>
        </w:rPr>
        <w:t xml:space="preserve"> n°1 et</w:t>
      </w:r>
      <w:r w:rsidRPr="00BA1728">
        <w:rPr>
          <w:b/>
          <w:color w:val="000000" w:themeColor="text1"/>
        </w:rPr>
        <w:t xml:space="preserve"> </w:t>
      </w:r>
      <w:r>
        <w:rPr>
          <w:b/>
          <w:color w:val="0070C0"/>
        </w:rPr>
        <w:t>cinq</w:t>
      </w:r>
      <w:r w:rsidRPr="00BA1728">
        <w:rPr>
          <w:b/>
          <w:color w:val="0070C0"/>
        </w:rPr>
        <w:t xml:space="preserve"> milliards Francs CFA (</w:t>
      </w:r>
      <w:r>
        <w:rPr>
          <w:b/>
          <w:color w:val="0070C0"/>
        </w:rPr>
        <w:t>5</w:t>
      </w:r>
      <w:r w:rsidRPr="00BA1728">
        <w:rPr>
          <w:b/>
          <w:color w:val="0070C0"/>
        </w:rPr>
        <w:t xml:space="preserve"> 000 000 000 </w:t>
      </w:r>
      <w:r>
        <w:rPr>
          <w:b/>
          <w:color w:val="0070C0"/>
        </w:rPr>
        <w:t>F.</w:t>
      </w:r>
      <w:r w:rsidRPr="00BA1728">
        <w:rPr>
          <w:b/>
          <w:color w:val="0070C0"/>
        </w:rPr>
        <w:t>CFA</w:t>
      </w:r>
      <w:r>
        <w:rPr>
          <w:b/>
          <w:color w:val="0070C0"/>
        </w:rPr>
        <w:t xml:space="preserve"> TTC</w:t>
      </w:r>
      <w:r w:rsidRPr="00BA1728">
        <w:rPr>
          <w:b/>
          <w:color w:val="0070C0"/>
        </w:rPr>
        <w:t>)</w:t>
      </w:r>
      <w:r w:rsidRPr="00BA1728">
        <w:rPr>
          <w:b/>
          <w:color w:val="000000" w:themeColor="text1"/>
        </w:rPr>
        <w:t xml:space="preserve"> </w:t>
      </w:r>
      <w:r w:rsidRPr="00BA1728">
        <w:rPr>
          <w:color w:val="000000" w:themeColor="text1"/>
        </w:rPr>
        <w:t>pour le Lot n°</w:t>
      </w:r>
      <w:r>
        <w:rPr>
          <w:color w:val="000000" w:themeColor="text1"/>
        </w:rPr>
        <w:t>2</w:t>
      </w:r>
      <w:r w:rsidRPr="00BA1728">
        <w:rPr>
          <w:color w:val="000000" w:themeColor="text1"/>
        </w:rPr>
        <w:t>.</w:t>
      </w:r>
    </w:p>
    <w:p w:rsidR="00F6640F" w:rsidRDefault="00F6640F" w:rsidP="00F6640F">
      <w:pPr>
        <w:pStyle w:val="Paragraphedeliste"/>
        <w:numPr>
          <w:ilvl w:val="0"/>
          <w:numId w:val="3"/>
        </w:numPr>
        <w:textAlignment w:val="auto"/>
        <w:rPr>
          <w:color w:val="00B0F0"/>
        </w:rPr>
      </w:pPr>
      <w:r w:rsidRPr="00BA1728">
        <w:rPr>
          <w:color w:val="000000" w:themeColor="text1"/>
        </w:rPr>
        <w:t>avoir réalisé au cours des</w:t>
      </w:r>
      <w:r w:rsidRPr="00BA1728">
        <w:rPr>
          <w:b/>
          <w:color w:val="000000" w:themeColor="text1"/>
        </w:rPr>
        <w:t xml:space="preserve"> </w:t>
      </w:r>
      <w:r w:rsidRPr="00BA1728">
        <w:rPr>
          <w:b/>
          <w:color w:val="0070C0"/>
        </w:rPr>
        <w:t>dix (10) dernières années (2011 à 2020</w:t>
      </w:r>
      <w:proofErr w:type="gramStart"/>
      <w:r w:rsidRPr="00BA1728">
        <w:rPr>
          <w:b/>
          <w:color w:val="0070C0"/>
        </w:rPr>
        <w:t>)</w:t>
      </w:r>
      <w:r>
        <w:rPr>
          <w:b/>
          <w:color w:val="0070C0"/>
        </w:rPr>
        <w:t xml:space="preserve"> </w:t>
      </w:r>
      <w:r w:rsidRPr="00BA1728">
        <w:rPr>
          <w:color w:val="000000" w:themeColor="text1"/>
        </w:rPr>
        <w:t> </w:t>
      </w:r>
      <w:r w:rsidRPr="00BA1728">
        <w:rPr>
          <w:color w:val="00B0F0"/>
        </w:rPr>
        <w:t>:</w:t>
      </w:r>
      <w:proofErr w:type="gramEnd"/>
      <w:r w:rsidRPr="00BA1728">
        <w:rPr>
          <w:color w:val="00B0F0"/>
        </w:rPr>
        <w:t xml:space="preserve"> </w:t>
      </w:r>
    </w:p>
    <w:p w:rsidR="00F6640F" w:rsidRDefault="00F6640F" w:rsidP="00F6640F">
      <w:pPr>
        <w:pStyle w:val="Paragraphedeliste"/>
        <w:ind w:left="720"/>
        <w:textAlignment w:val="auto"/>
        <w:rPr>
          <w:color w:val="00B0F0"/>
        </w:rPr>
      </w:pPr>
    </w:p>
    <w:p w:rsidR="00F6640F" w:rsidRDefault="00F6640F" w:rsidP="00F6640F">
      <w:pPr>
        <w:pStyle w:val="Paragraphedeliste"/>
        <w:ind w:left="720"/>
        <w:textAlignment w:val="auto"/>
        <w:rPr>
          <w:color w:val="00B0F0"/>
        </w:rPr>
      </w:pPr>
    </w:p>
    <w:p w:rsidR="00F6640F" w:rsidRDefault="00F6640F" w:rsidP="00F6640F">
      <w:pPr>
        <w:pStyle w:val="Paragraphedeliste"/>
        <w:ind w:left="720"/>
        <w:textAlignment w:val="auto"/>
        <w:rPr>
          <w:color w:val="00B0F0"/>
        </w:rPr>
      </w:pPr>
    </w:p>
    <w:p w:rsidR="00F6640F" w:rsidRPr="00841C94" w:rsidRDefault="00F6640F" w:rsidP="00F6640F">
      <w:pPr>
        <w:pStyle w:val="Paragraphedeliste"/>
        <w:numPr>
          <w:ilvl w:val="1"/>
          <w:numId w:val="3"/>
        </w:numPr>
        <w:ind w:left="1068"/>
        <w:textAlignment w:val="auto"/>
        <w:rPr>
          <w:color w:val="00B0F0"/>
        </w:rPr>
      </w:pPr>
      <w:r>
        <w:rPr>
          <w:rFonts w:cs="Times New Roman"/>
          <w:b/>
          <w:color w:val="0070C0"/>
        </w:rPr>
        <w:t xml:space="preserve">Pour le Lot 01 : </w:t>
      </w:r>
    </w:p>
    <w:p w:rsidR="00F6640F" w:rsidRPr="00207803" w:rsidRDefault="00F6640F" w:rsidP="00F6640F">
      <w:pPr>
        <w:pStyle w:val="Paragraphedeliste"/>
        <w:numPr>
          <w:ilvl w:val="2"/>
          <w:numId w:val="3"/>
        </w:numPr>
        <w:ind w:left="1788"/>
        <w:textAlignment w:val="auto"/>
        <w:rPr>
          <w:color w:val="00B0F0"/>
        </w:rPr>
      </w:pPr>
      <w:r w:rsidRPr="00BA1728">
        <w:rPr>
          <w:rFonts w:cs="Times New Roman"/>
          <w:b/>
          <w:color w:val="0070C0"/>
        </w:rPr>
        <w:t xml:space="preserve">deux (02) marchés de travaux de construction et de bitumage de routes d'au moins trente (30) km </w:t>
      </w:r>
      <w:r>
        <w:rPr>
          <w:rFonts w:cs="Times New Roman"/>
          <w:b/>
          <w:color w:val="0070C0"/>
        </w:rPr>
        <w:t xml:space="preserve">et </w:t>
      </w:r>
      <w:r w:rsidRPr="00431566">
        <w:rPr>
          <w:rFonts w:cs="Times New Roman"/>
          <w:b/>
          <w:color w:val="0070C0"/>
        </w:rPr>
        <w:t>un (01)</w:t>
      </w:r>
      <w:r w:rsidRPr="00BA1728">
        <w:rPr>
          <w:rFonts w:cs="Times New Roman"/>
          <w:b/>
          <w:color w:val="0070C0"/>
        </w:rPr>
        <w:t xml:space="preserve"> marché d’aménagement de voiries urbaines d’au moins cinq (05) km avec revêtement en béton bitumineux (BB)</w:t>
      </w:r>
      <w:r>
        <w:rPr>
          <w:rFonts w:cs="Times New Roman"/>
          <w:b/>
          <w:color w:val="0070C0"/>
        </w:rPr>
        <w:t> </w:t>
      </w:r>
      <w:r w:rsidRPr="00BA1728">
        <w:rPr>
          <w:rFonts w:cs="Times New Roman"/>
          <w:b/>
          <w:color w:val="0070C0"/>
        </w:rPr>
        <w:t xml:space="preserve"> dont la couche de base est en graves concassées</w:t>
      </w:r>
      <w:r w:rsidRPr="00BA1728">
        <w:rPr>
          <w:rFonts w:cs="Times New Roman"/>
          <w:b/>
          <w:color w:val="000000" w:themeColor="text1"/>
        </w:rPr>
        <w:t xml:space="preserve"> </w:t>
      </w:r>
      <w:r w:rsidRPr="00BA1728">
        <w:rPr>
          <w:rFonts w:cs="Times New Roman"/>
          <w:b/>
          <w:color w:val="0070C0"/>
        </w:rPr>
        <w:t>ou litho stabilisation</w:t>
      </w:r>
      <w:r>
        <w:rPr>
          <w:rFonts w:cs="Times New Roman"/>
          <w:color w:val="000000" w:themeColor="text1"/>
        </w:rPr>
        <w:t xml:space="preserve"> </w:t>
      </w:r>
      <w:r w:rsidRPr="00BA1728">
        <w:rPr>
          <w:rFonts w:cs="Times New Roman"/>
          <w:color w:val="000000" w:themeColor="text1"/>
        </w:rPr>
        <w:t xml:space="preserve">; </w:t>
      </w:r>
    </w:p>
    <w:p w:rsidR="00F6640F" w:rsidRPr="00840819" w:rsidRDefault="00F6640F" w:rsidP="00F6640F">
      <w:pPr>
        <w:pStyle w:val="Paragraphedeliste"/>
        <w:numPr>
          <w:ilvl w:val="2"/>
          <w:numId w:val="3"/>
        </w:numPr>
        <w:ind w:left="1788"/>
        <w:textAlignment w:val="auto"/>
        <w:rPr>
          <w:color w:val="00B0F0"/>
        </w:rPr>
      </w:pPr>
      <w:r w:rsidRPr="00431566">
        <w:rPr>
          <w:rFonts w:cs="Times New Roman"/>
          <w:b/>
          <w:color w:val="0070C0"/>
        </w:rPr>
        <w:t>un pont de 30 ml de portée en béton armé </w:t>
      </w:r>
      <w:r>
        <w:rPr>
          <w:rFonts w:cs="Times New Roman"/>
          <w:b/>
          <w:color w:val="0070C0"/>
        </w:rPr>
        <w:t>;</w:t>
      </w:r>
    </w:p>
    <w:p w:rsidR="00F6640F" w:rsidRPr="00207803" w:rsidRDefault="00F6640F" w:rsidP="00F6640F">
      <w:pPr>
        <w:pStyle w:val="Paragraphedeliste"/>
        <w:ind w:left="1788"/>
        <w:textAlignment w:val="auto"/>
        <w:rPr>
          <w:color w:val="00B0F0"/>
        </w:rPr>
      </w:pPr>
    </w:p>
    <w:p w:rsidR="00F6640F" w:rsidRPr="00207803" w:rsidRDefault="00F6640F" w:rsidP="00F6640F">
      <w:pPr>
        <w:pStyle w:val="Paragraphedeliste"/>
        <w:numPr>
          <w:ilvl w:val="1"/>
          <w:numId w:val="3"/>
        </w:numPr>
        <w:ind w:left="1068"/>
        <w:textAlignment w:val="auto"/>
        <w:rPr>
          <w:color w:val="00B0F0"/>
        </w:rPr>
      </w:pPr>
      <w:r>
        <w:rPr>
          <w:rFonts w:cs="Times New Roman"/>
          <w:b/>
          <w:color w:val="0070C0"/>
        </w:rPr>
        <w:t xml:space="preserve">Pour le Lot 02 : </w:t>
      </w:r>
    </w:p>
    <w:p w:rsidR="00F6640F" w:rsidRPr="00840819" w:rsidRDefault="00F6640F" w:rsidP="00F6640F">
      <w:pPr>
        <w:pStyle w:val="Paragraphedeliste"/>
        <w:numPr>
          <w:ilvl w:val="2"/>
          <w:numId w:val="3"/>
        </w:numPr>
        <w:ind w:left="1788"/>
        <w:textAlignment w:val="auto"/>
        <w:rPr>
          <w:color w:val="00B0F0"/>
        </w:rPr>
      </w:pPr>
      <w:r w:rsidRPr="00BA1728">
        <w:rPr>
          <w:rFonts w:cs="Times New Roman"/>
          <w:b/>
          <w:color w:val="0070C0"/>
        </w:rPr>
        <w:t>deux (02) marchés de travaux de construction et de bitumage de routes d'au moins trente (30) km</w:t>
      </w:r>
      <w:r>
        <w:rPr>
          <w:rFonts w:cs="Times New Roman"/>
          <w:b/>
          <w:color w:val="0070C0"/>
        </w:rPr>
        <w:t xml:space="preserve"> </w:t>
      </w:r>
      <w:r w:rsidRPr="00BA1728">
        <w:rPr>
          <w:rFonts w:cs="Times New Roman"/>
          <w:b/>
          <w:color w:val="0070C0"/>
        </w:rPr>
        <w:t>avec revêtement en béton bitumineux (BB), dont la couche de base est en graves concassées</w:t>
      </w:r>
      <w:r w:rsidRPr="00BA1728">
        <w:rPr>
          <w:rFonts w:cs="Times New Roman"/>
          <w:b/>
          <w:color w:val="000000" w:themeColor="text1"/>
        </w:rPr>
        <w:t xml:space="preserve"> </w:t>
      </w:r>
      <w:r w:rsidRPr="00BA1728">
        <w:rPr>
          <w:rFonts w:cs="Times New Roman"/>
          <w:b/>
          <w:color w:val="0070C0"/>
        </w:rPr>
        <w:t>ou litho stabilisation</w:t>
      </w:r>
      <w:r w:rsidRPr="00BA1728">
        <w:rPr>
          <w:rFonts w:cs="Times New Roman"/>
          <w:color w:val="000000" w:themeColor="text1"/>
        </w:rPr>
        <w:t>.</w:t>
      </w:r>
    </w:p>
    <w:p w:rsidR="00F6640F" w:rsidRPr="00BA1728" w:rsidRDefault="00F6640F" w:rsidP="00F6640F">
      <w:pPr>
        <w:pStyle w:val="Paragraphedeliste"/>
        <w:ind w:left="2160"/>
        <w:textAlignment w:val="auto"/>
        <w:rPr>
          <w:color w:val="00B0F0"/>
        </w:rPr>
      </w:pP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 xml:space="preserve">Les candidats intéressés peuvent consulter gratuitement le dossier d’Appel d’offres complet ou le retirer à titre onéreux contre paiement d’une somme non remboursable </w:t>
      </w:r>
      <w:r w:rsidRPr="00BA1728">
        <w:rPr>
          <w:b/>
        </w:rPr>
        <w:t xml:space="preserve">de </w:t>
      </w:r>
      <w:r w:rsidRPr="00BA1728">
        <w:rPr>
          <w:b/>
          <w:color w:val="0070C0"/>
        </w:rPr>
        <w:t>Deux cent mille Francs CFA (200 000 F.CFA)</w:t>
      </w:r>
      <w:r w:rsidRPr="00BA1728">
        <w:rPr>
          <w:i/>
          <w:iCs/>
        </w:rPr>
        <w:t xml:space="preserve"> </w:t>
      </w:r>
      <w:r w:rsidRPr="00BA1728">
        <w:t xml:space="preserve">à l’adresse mentionnée ci-après </w:t>
      </w:r>
      <w:r w:rsidRPr="00BA1728">
        <w:rPr>
          <w:b/>
        </w:rPr>
        <w:t xml:space="preserve">Direction des Finances et du Matériel du Ministère des Transports et des Infrastructures, Avenue de la liberté face au grand Hôtel, BP 78, Bamako, Téléphone </w:t>
      </w:r>
      <w:r w:rsidRPr="00BA1728">
        <w:rPr>
          <w:rFonts w:cs="Times New Roman"/>
          <w:b/>
          <w:bCs/>
        </w:rPr>
        <w:t>(223) 20 22 23 81/20 23 14 50, Fax (223) 20 23 90 60 Bamako</w:t>
      </w:r>
      <w:r w:rsidRPr="00BA1728">
        <w:rPr>
          <w:i/>
          <w:iCs/>
        </w:rPr>
        <w:t xml:space="preserve">. </w:t>
      </w:r>
      <w:r w:rsidRPr="00BA1728">
        <w:t>La méthode de paiement sera en espèces (monnaie locale)</w:t>
      </w:r>
      <w:r w:rsidRPr="00BA1728">
        <w:rPr>
          <w:i/>
          <w:iCs/>
        </w:rPr>
        <w:t>.</w:t>
      </w:r>
      <w:r w:rsidRPr="00BA1728">
        <w:t xml:space="preserve"> Le Dossier d’Appel d’offres sera adressé par la poste aérienne pour l’étranger et la poste normale ou l’acheminement à domicile localement. Les offres devront être soumises à l’adresse ci-après </w:t>
      </w:r>
      <w:r w:rsidRPr="00BA1728">
        <w:rPr>
          <w:b/>
        </w:rPr>
        <w:t xml:space="preserve">Direction des Finances et du Matériel du Ministère des Transports et des Infrastructures, Avenue de la liberté face au grand Hôtel, BP 78, Bamako, Téléphone </w:t>
      </w:r>
      <w:r w:rsidRPr="00BA1728">
        <w:rPr>
          <w:rFonts w:cs="Times New Roman"/>
          <w:b/>
          <w:bCs/>
        </w:rPr>
        <w:t>(223) 20 22 23 81/20 23 14 50, Fax (223) 20 23 90 60 Bamako</w:t>
      </w:r>
      <w:r w:rsidRPr="00BA1728">
        <w:rPr>
          <w:i/>
          <w:iCs/>
        </w:rPr>
        <w:t xml:space="preserve"> </w:t>
      </w:r>
      <w:r w:rsidRPr="00BA1728">
        <w:t xml:space="preserve">au plus tard le </w:t>
      </w:r>
      <w:r w:rsidRPr="00BA1728">
        <w:rPr>
          <w:i/>
          <w:iCs/>
          <w:color w:val="FF0000"/>
        </w:rPr>
        <w:t xml:space="preserve">[___/___/____] </w:t>
      </w:r>
      <w:r w:rsidRPr="00BA1728">
        <w:rPr>
          <w:b/>
          <w:iCs/>
        </w:rPr>
        <w:t xml:space="preserve">en un </w:t>
      </w:r>
      <w:r w:rsidRPr="00BA1728">
        <w:rPr>
          <w:b/>
          <w:iCs/>
          <w:color w:val="0070C0"/>
        </w:rPr>
        <w:t>(01) original, trois (03) copies et une version numérique sur clé USB</w:t>
      </w:r>
      <w:r w:rsidRPr="00BA1728">
        <w:rPr>
          <w:color w:val="FF0000"/>
        </w:rPr>
        <w:t xml:space="preserve">. </w:t>
      </w:r>
      <w:r w:rsidRPr="00BA1728">
        <w:t>Les offres qui ne parviendront pas aux heures et date ci-dessus, indiquées, seront purement et simplement rejetées et retournées sans être ouvertes.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 xml:space="preserve">Les offres doivent comprendre </w:t>
      </w:r>
      <w:r w:rsidRPr="00BA1728">
        <w:rPr>
          <w:iCs/>
        </w:rPr>
        <w:t>une garantie de soumission</w:t>
      </w:r>
      <w:r w:rsidRPr="00BA1728">
        <w:t xml:space="preserve">, d’un montant de </w:t>
      </w:r>
      <w:r>
        <w:rPr>
          <w:b/>
          <w:color w:val="0070C0"/>
        </w:rPr>
        <w:t>Six</w:t>
      </w:r>
      <w:r w:rsidRPr="00BA1728">
        <w:rPr>
          <w:b/>
          <w:color w:val="0070C0"/>
        </w:rPr>
        <w:t xml:space="preserve"> cents millions Francs CFA (</w:t>
      </w:r>
      <w:r>
        <w:rPr>
          <w:b/>
          <w:color w:val="0070C0"/>
        </w:rPr>
        <w:t>6</w:t>
      </w:r>
      <w:r w:rsidRPr="00BA1728">
        <w:rPr>
          <w:b/>
          <w:color w:val="0070C0"/>
        </w:rPr>
        <w:t xml:space="preserve">00 000 000 F.CFA) </w:t>
      </w:r>
      <w:r w:rsidRPr="00BA1728">
        <w:t xml:space="preserve">pour </w:t>
      </w:r>
      <w:r>
        <w:t>le</w:t>
      </w:r>
      <w:r w:rsidRPr="00BA1728">
        <w:t xml:space="preserve"> </w:t>
      </w:r>
      <w:r>
        <w:t>l</w:t>
      </w:r>
      <w:r w:rsidRPr="00BA1728">
        <w:t>ot n°1</w:t>
      </w:r>
      <w:r>
        <w:t xml:space="preserve"> et </w:t>
      </w:r>
      <w:r>
        <w:rPr>
          <w:b/>
          <w:color w:val="0070C0"/>
        </w:rPr>
        <w:t>Cinq cents</w:t>
      </w:r>
      <w:r w:rsidRPr="00BA1728">
        <w:rPr>
          <w:b/>
          <w:color w:val="0070C0"/>
        </w:rPr>
        <w:t xml:space="preserve"> millions Francs CFA (</w:t>
      </w:r>
      <w:r>
        <w:rPr>
          <w:b/>
          <w:color w:val="0070C0"/>
        </w:rPr>
        <w:t>5</w:t>
      </w:r>
      <w:r w:rsidRPr="00BA1728">
        <w:rPr>
          <w:b/>
          <w:color w:val="0070C0"/>
        </w:rPr>
        <w:t>00 000 000 F.CFA)</w:t>
      </w:r>
      <w:r w:rsidRPr="00BA1728">
        <w:rPr>
          <w:b/>
        </w:rPr>
        <w:t xml:space="preserve"> </w:t>
      </w:r>
      <w:r w:rsidRPr="00BA1728">
        <w:t xml:space="preserve">pour le </w:t>
      </w:r>
      <w:r>
        <w:t>l</w:t>
      </w:r>
      <w:r w:rsidRPr="00BA1728">
        <w:t>ot n°</w:t>
      </w:r>
      <w:r>
        <w:t>2</w:t>
      </w:r>
      <w:r w:rsidRPr="00BA1728">
        <w:t>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 w:rsidRPr="00BA1728">
        <w:t>Les Soumissionnaires</w:t>
      </w:r>
      <w:r w:rsidRPr="00BA1728" w:rsidDel="00E43AEC">
        <w:t xml:space="preserve"> </w:t>
      </w:r>
      <w:r w:rsidRPr="00BA1728">
        <w:t xml:space="preserve">resteront engagés par leur offre pendant une période de </w:t>
      </w:r>
      <w:r w:rsidRPr="00BA1728">
        <w:rPr>
          <w:b/>
          <w:color w:val="0070C0"/>
        </w:rPr>
        <w:t>cent vingt jours (120 jours)</w:t>
      </w:r>
      <w:r w:rsidRPr="00BA1728">
        <w:rPr>
          <w:i/>
          <w:iCs/>
          <w:sz w:val="23"/>
          <w:szCs w:val="23"/>
        </w:rPr>
        <w:t xml:space="preserve"> </w:t>
      </w:r>
      <w:r w:rsidRPr="00BA1728">
        <w:t>à compter de la date limite du dépôt des offres comme spécifié au point 19.1 des IC et au DPAO.</w:t>
      </w:r>
    </w:p>
    <w:p w:rsidR="00F6640F" w:rsidRPr="00BA1728" w:rsidRDefault="00F6640F" w:rsidP="00F6640F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A1728">
        <w:t xml:space="preserve">Les offres seront ouvertes en présence des représentants des soumissionnaires qui souhaitent assister à l’ouverture des plis le </w:t>
      </w:r>
      <w:r w:rsidRPr="00BA1728">
        <w:rPr>
          <w:i/>
          <w:color w:val="FF0000"/>
        </w:rPr>
        <w:t>[date]</w:t>
      </w:r>
      <w:r w:rsidRPr="00BA1728">
        <w:rPr>
          <w:color w:val="FF0000"/>
        </w:rPr>
        <w:t xml:space="preserve"> à </w:t>
      </w:r>
      <w:r w:rsidRPr="00BA1728">
        <w:rPr>
          <w:i/>
          <w:color w:val="FF0000"/>
        </w:rPr>
        <w:t>[heure</w:t>
      </w:r>
      <w:r w:rsidRPr="00BA1728">
        <w:rPr>
          <w:i/>
        </w:rPr>
        <w:t>]</w:t>
      </w:r>
      <w:r w:rsidRPr="00BA1728">
        <w:t xml:space="preserve"> à l’adresse suivante : </w:t>
      </w:r>
      <w:r w:rsidRPr="00BA1728">
        <w:rPr>
          <w:b/>
        </w:rPr>
        <w:t xml:space="preserve">Direction des Finances et du Matériel du Ministère des Transports et des Infrastructures, Avenue de la liberté face au grand Hôtel, BP 78, Bamako, Téléphone </w:t>
      </w:r>
      <w:r w:rsidRPr="00BA1728">
        <w:rPr>
          <w:rFonts w:cs="Times New Roman"/>
          <w:b/>
          <w:bCs/>
        </w:rPr>
        <w:t>(223) 20 22 23 81/20 23 14 50, Fax (223) 20 23 90 60 Bamako.</w:t>
      </w:r>
    </w:p>
    <w:p w:rsidR="00F6640F" w:rsidRPr="00BA1728" w:rsidRDefault="00F6640F" w:rsidP="00F6640F">
      <w:pPr>
        <w:ind w:left="708"/>
        <w:rPr>
          <w:sz w:val="22"/>
        </w:rPr>
      </w:pPr>
      <w:r w:rsidRPr="00BA1728">
        <w:rPr>
          <w:sz w:val="22"/>
        </w:rPr>
        <w:t xml:space="preserve">                                                                                                 Pour le Ministre et par Ordre, </w:t>
      </w:r>
    </w:p>
    <w:p w:rsidR="00F6640F" w:rsidRPr="00BA1728" w:rsidRDefault="00F6640F" w:rsidP="00F6640F">
      <w:pPr>
        <w:ind w:left="708"/>
        <w:rPr>
          <w:sz w:val="22"/>
        </w:rPr>
      </w:pPr>
      <w:r w:rsidRPr="00BA1728">
        <w:rPr>
          <w:sz w:val="22"/>
        </w:rPr>
        <w:t xml:space="preserve">                                                                                                     Le Secrétaire Général,</w:t>
      </w:r>
    </w:p>
    <w:p w:rsidR="00F6640F" w:rsidRPr="00BA1728" w:rsidRDefault="00F6640F" w:rsidP="00F6640F">
      <w:pPr>
        <w:ind w:left="708"/>
        <w:rPr>
          <w:sz w:val="22"/>
        </w:rPr>
      </w:pPr>
    </w:p>
    <w:p w:rsidR="00F6640F" w:rsidRPr="00BA1728" w:rsidRDefault="00F6640F" w:rsidP="00F6640F">
      <w:pPr>
        <w:ind w:left="708"/>
        <w:rPr>
          <w:sz w:val="22"/>
        </w:rPr>
      </w:pPr>
    </w:p>
    <w:p w:rsidR="00F6640F" w:rsidRPr="00BA1728" w:rsidRDefault="00F6640F" w:rsidP="00F6640F">
      <w:pPr>
        <w:ind w:left="708"/>
        <w:rPr>
          <w:sz w:val="22"/>
        </w:rPr>
      </w:pPr>
    </w:p>
    <w:p w:rsidR="00F6640F" w:rsidRPr="00BA1728" w:rsidRDefault="00F6640F" w:rsidP="00F6640F">
      <w:pPr>
        <w:ind w:left="708"/>
        <w:rPr>
          <w:sz w:val="22"/>
        </w:rPr>
      </w:pPr>
      <w:r w:rsidRPr="00BA1728">
        <w:rPr>
          <w:b/>
          <w:sz w:val="22"/>
        </w:rPr>
        <w:t xml:space="preserve">                                                                                                      </w:t>
      </w:r>
      <w:r w:rsidRPr="00BA1728">
        <w:rPr>
          <w:b/>
          <w:szCs w:val="28"/>
          <w:u w:val="single"/>
        </w:rPr>
        <w:t>Mama DJENEPO</w:t>
      </w:r>
      <w:r w:rsidRPr="00BA1728">
        <w:rPr>
          <w:sz w:val="22"/>
        </w:rPr>
        <w:t xml:space="preserve">                                                                                                  </w:t>
      </w:r>
    </w:p>
    <w:p w:rsidR="00E8396B" w:rsidRDefault="00F6640F" w:rsidP="00F6640F">
      <w:r w:rsidRPr="00BA1728">
        <w:rPr>
          <w:sz w:val="22"/>
        </w:rPr>
        <w:t xml:space="preserve">                                                                                               </w:t>
      </w:r>
      <w:r w:rsidRPr="00BA1728">
        <w:rPr>
          <w:i/>
          <w:sz w:val="22"/>
        </w:rPr>
        <w:t>Chevalier de l’Ordre National</w:t>
      </w:r>
      <w:bookmarkStart w:id="1" w:name="_GoBack"/>
      <w:bookmarkEnd w:id="1"/>
    </w:p>
    <w:sectPr w:rsidR="00E8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94884"/>
    <w:multiLevelType w:val="hybridMultilevel"/>
    <w:tmpl w:val="2DFA5A6C"/>
    <w:lvl w:ilvl="0" w:tplc="D586F4EE">
      <w:start w:val="1"/>
      <w:numFmt w:val="bullet"/>
      <w:lvlText w:val="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0F0BC0"/>
    <w:multiLevelType w:val="hybridMultilevel"/>
    <w:tmpl w:val="EA184002"/>
    <w:lvl w:ilvl="0" w:tplc="3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04DC4"/>
    <w:multiLevelType w:val="hybridMultilevel"/>
    <w:tmpl w:val="61789E98"/>
    <w:lvl w:ilvl="0" w:tplc="F864AC44">
      <w:start w:val="1"/>
      <w:numFmt w:val="bullet"/>
      <w:pStyle w:val="BulletsR1"/>
      <w:lvlText w:val="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72C7154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66B02BEC"/>
    <w:multiLevelType w:val="hybridMultilevel"/>
    <w:tmpl w:val="6F441814"/>
    <w:lvl w:ilvl="0" w:tplc="CF86E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26ADE"/>
    <w:multiLevelType w:val="hybridMultilevel"/>
    <w:tmpl w:val="354E8106"/>
    <w:lvl w:ilvl="0" w:tplc="CF86E6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0F"/>
    <w:rsid w:val="00E8396B"/>
    <w:rsid w:val="00F6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BE8A-E3D2-4BB1-8E72-ECBABCB6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0F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uces,References,- List tir,liste 1,puce 1,Bullets,Liste 1,List Paragraph nowy,Numbered List Paragraph,List Paragraph (numbered (a)),Medium Grid 1 - Accent 21,Paragraphe de liste2,Bullet 1,Premier,Paragraphe  revu,Titre1,Tableau Ader"/>
    <w:basedOn w:val="Normal"/>
    <w:link w:val="ParagraphedelisteCar"/>
    <w:uiPriority w:val="34"/>
    <w:qFormat/>
    <w:rsid w:val="00F6640F"/>
    <w:pPr>
      <w:ind w:left="708"/>
    </w:pPr>
  </w:style>
  <w:style w:type="character" w:customStyle="1" w:styleId="ParagraphedelisteCar">
    <w:name w:val="Paragraphe de liste Car"/>
    <w:aliases w:val="Puces Car,References Car,- List tir Car,liste 1 Car,puce 1 Car,Bullets Car,Liste 1 Car,List Paragraph nowy Car,Numbered List Paragraph Car,List Paragraph (numbered (a)) Car,Medium Grid 1 - Accent 21 Car,Paragraphe de liste2 Car"/>
    <w:link w:val="Paragraphedeliste"/>
    <w:uiPriority w:val="34"/>
    <w:qFormat/>
    <w:locked/>
    <w:rsid w:val="00F6640F"/>
    <w:rPr>
      <w:rFonts w:ascii="Times New Roman" w:eastAsia="Times New Roman" w:hAnsi="Times New Roman" w:cs="Arial"/>
      <w:sz w:val="24"/>
      <w:szCs w:val="24"/>
      <w:lang w:eastAsia="fr-FR"/>
    </w:rPr>
  </w:style>
  <w:style w:type="paragraph" w:customStyle="1" w:styleId="BulletsR1">
    <w:name w:val="BulletsR1"/>
    <w:basedOn w:val="Normal"/>
    <w:rsid w:val="00F6640F"/>
    <w:pPr>
      <w:widowControl w:val="0"/>
      <w:numPr>
        <w:numId w:val="4"/>
      </w:numPr>
      <w:suppressAutoHyphens w:val="0"/>
      <w:overflowPunct/>
      <w:autoSpaceDE/>
      <w:autoSpaceDN/>
      <w:adjustRightInd/>
      <w:spacing w:before="80" w:after="120"/>
      <w:textAlignment w:val="auto"/>
    </w:pPr>
    <w:rPr>
      <w:rFonts w:ascii="Arial" w:hAnsi="Arial" w:cs="Times New Roman"/>
      <w:sz w:val="22"/>
      <w:szCs w:val="20"/>
      <w:lang w:val="fr-BE"/>
    </w:rPr>
  </w:style>
  <w:style w:type="character" w:customStyle="1" w:styleId="BoulletsR1Car">
    <w:name w:val="BoulletsR1 Car"/>
    <w:link w:val="BoulletsR1"/>
    <w:locked/>
    <w:rsid w:val="00F6640F"/>
    <w:rPr>
      <w:rFonts w:ascii="Arial" w:eastAsia="Times New Roman" w:hAnsi="Arial" w:cs="Arial"/>
      <w:lang w:val="fr-CA"/>
    </w:rPr>
  </w:style>
  <w:style w:type="paragraph" w:customStyle="1" w:styleId="BoulletsR1">
    <w:name w:val="BoulletsR1"/>
    <w:basedOn w:val="BulletsR1"/>
    <w:link w:val="BoulletsR1Car"/>
    <w:qFormat/>
    <w:rsid w:val="00F6640F"/>
    <w:pPr>
      <w:spacing w:line="300" w:lineRule="exact"/>
    </w:pPr>
    <w:rPr>
      <w:rFonts w:cs="Arial"/>
      <w:szCs w:val="22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1253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2022-03-15T11:41:00Z</dcterms:created>
  <dcterms:modified xsi:type="dcterms:W3CDTF">2022-03-15T11:42:00Z</dcterms:modified>
</cp:coreProperties>
</file>