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459" w:type="dxa"/>
        <w:tblLook w:val="04A0" w:firstRow="1" w:lastRow="0" w:firstColumn="1" w:lastColumn="0" w:noHBand="0" w:noVBand="1"/>
      </w:tblPr>
      <w:tblGrid>
        <w:gridCol w:w="4803"/>
        <w:gridCol w:w="1684"/>
        <w:gridCol w:w="3686"/>
        <w:gridCol w:w="4803"/>
        <w:gridCol w:w="555"/>
        <w:gridCol w:w="3928"/>
      </w:tblGrid>
      <w:tr w:rsidR="00BE237F" w:rsidRPr="00816AA6" w:rsidTr="00E0623D">
        <w:tc>
          <w:tcPr>
            <w:tcW w:w="4803" w:type="dxa"/>
          </w:tcPr>
          <w:p w:rsidR="00BE237F" w:rsidRPr="00816AA6" w:rsidRDefault="00BE237F" w:rsidP="00E0623D">
            <w:pPr>
              <w:tabs>
                <w:tab w:val="right" w:pos="9000"/>
              </w:tabs>
              <w:suppressAutoHyphens/>
              <w:spacing w:after="0" w:line="240" w:lineRule="auto"/>
              <w:rPr>
                <w:rFonts w:ascii="Arial Black" w:hAnsi="Arial Black"/>
                <w:b/>
                <w:spacing w:val="-2"/>
              </w:rPr>
            </w:pPr>
            <w:r>
              <w:rPr>
                <w:rFonts w:ascii="Arial Black" w:hAnsi="Arial Black"/>
                <w:b/>
                <w:noProof/>
                <w:spacing w:val="-2"/>
                <w:lang w:eastAsia="fr-FR"/>
              </w:rPr>
              <w:drawing>
                <wp:anchor distT="0" distB="0" distL="114300" distR="114300" simplePos="0" relativeHeight="251658240" behindDoc="0" locked="0" layoutInCell="1" allowOverlap="1">
                  <wp:simplePos x="0" y="0"/>
                  <wp:positionH relativeFrom="margin">
                    <wp:posOffset>2857500</wp:posOffset>
                  </wp:positionH>
                  <wp:positionV relativeFrom="paragraph">
                    <wp:posOffset>17780</wp:posOffset>
                  </wp:positionV>
                  <wp:extent cx="1009650" cy="688975"/>
                  <wp:effectExtent l="0" t="0" r="0" b="0"/>
                  <wp:wrapNone/>
                  <wp:docPr id="2" name="Image 2" descr="C:\Users\sidym.ichrache\Documents\logo dou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Users\sidym.ichrache\Documents\logo doua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b/>
                <w:spacing w:val="-2"/>
              </w:rPr>
              <w:t xml:space="preserve">        </w:t>
            </w:r>
            <w:r w:rsidRPr="00816AA6">
              <w:rPr>
                <w:rFonts w:ascii="Arial Black" w:hAnsi="Arial Black"/>
                <w:b/>
                <w:spacing w:val="-2"/>
              </w:rPr>
              <w:t xml:space="preserve">MINISTERE DE L’ECONOMIE </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ET DES FINANCES</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686" w:type="dxa"/>
          </w:tcPr>
          <w:p w:rsidR="00BE237F" w:rsidRDefault="00BE237F" w:rsidP="00E0623D">
            <w:pPr>
              <w:tabs>
                <w:tab w:val="right" w:pos="9000"/>
              </w:tabs>
              <w:suppressAutoHyphens/>
              <w:spacing w:after="0" w:line="240" w:lineRule="auto"/>
              <w:rPr>
                <w:rFonts w:ascii="Arial Black" w:hAnsi="Arial Black"/>
                <w:b/>
                <w:spacing w:val="-2"/>
              </w:rPr>
            </w:pPr>
            <w:r>
              <w:rPr>
                <w:rFonts w:ascii="Arial Black" w:hAnsi="Arial Black"/>
                <w:b/>
                <w:spacing w:val="-2"/>
              </w:rPr>
              <w:t xml:space="preserve">     REPUBLIQUE DU MALI</w:t>
            </w:r>
          </w:p>
          <w:p w:rsidR="00BE237F" w:rsidRPr="00816AA6" w:rsidRDefault="00BE237F" w:rsidP="00E0623D">
            <w:pPr>
              <w:tabs>
                <w:tab w:val="right" w:pos="9000"/>
              </w:tabs>
              <w:suppressAutoHyphens/>
              <w:spacing w:after="0" w:line="240" w:lineRule="auto"/>
              <w:ind w:right="-108"/>
              <w:rPr>
                <w:rFonts w:ascii="Arial Black" w:hAnsi="Arial Black"/>
                <w:b/>
                <w:spacing w:val="-2"/>
              </w:rPr>
            </w:pPr>
            <w:r>
              <w:rPr>
                <w:rFonts w:ascii="Arial Black" w:hAnsi="Arial Black"/>
                <w:b/>
                <w:spacing w:val="-2"/>
              </w:rPr>
              <w:t>U</w:t>
            </w:r>
            <w:r w:rsidRPr="00816AA6">
              <w:rPr>
                <w:rFonts w:ascii="Arial Black" w:hAnsi="Arial Black"/>
                <w:b/>
                <w:spacing w:val="-2"/>
              </w:rPr>
              <w:t>n Peuple – Un But – Une Foi</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4803"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555"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r>
      <w:tr w:rsidR="00BE237F" w:rsidRPr="00816AA6" w:rsidTr="00E0623D">
        <w:tc>
          <w:tcPr>
            <w:tcW w:w="4803"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 xml:space="preserve">DIRECTION GENERALE </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DES DOUANES</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686"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555"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r>
      <w:tr w:rsidR="00BE237F" w:rsidRPr="00816AA6" w:rsidTr="00E0623D">
        <w:tc>
          <w:tcPr>
            <w:tcW w:w="4803"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r>
              <w:rPr>
                <w:rFonts w:ascii="Arial Black" w:hAnsi="Arial Black"/>
                <w:b/>
                <w:spacing w:val="-2"/>
              </w:rPr>
              <w:t xml:space="preserve">   </w:t>
            </w:r>
            <w:r w:rsidRPr="00816AA6">
              <w:rPr>
                <w:rFonts w:ascii="Arial Black" w:hAnsi="Arial Black"/>
                <w:b/>
                <w:spacing w:val="-2"/>
              </w:rPr>
              <w:t>DIRECTION DE</w:t>
            </w:r>
            <w:r>
              <w:rPr>
                <w:rFonts w:ascii="Arial Black" w:hAnsi="Arial Black"/>
                <w:b/>
                <w:spacing w:val="-2"/>
              </w:rPr>
              <w:t xml:space="preserve">S FINANCES ET DE LA LOGISTIQUE </w:t>
            </w:r>
            <w:r w:rsidRPr="00816AA6">
              <w:rPr>
                <w:rFonts w:ascii="Arial Black" w:hAnsi="Arial Black"/>
                <w:b/>
                <w:spacing w:val="-2"/>
              </w:rPr>
              <w:t xml:space="preserve"> </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686"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BE237F" w:rsidRPr="00816AA6" w:rsidRDefault="00BE237F" w:rsidP="00E0623D">
            <w:pPr>
              <w:tabs>
                <w:tab w:val="right" w:pos="9000"/>
              </w:tabs>
              <w:suppressAutoHyphens/>
              <w:spacing w:after="0" w:line="240" w:lineRule="auto"/>
              <w:rPr>
                <w:rFonts w:ascii="Arial Black" w:hAnsi="Arial Black"/>
                <w:b/>
                <w:spacing w:val="-2"/>
              </w:rPr>
            </w:pPr>
          </w:p>
        </w:tc>
        <w:tc>
          <w:tcPr>
            <w:tcW w:w="555"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r>
      <w:tr w:rsidR="00BE237F" w:rsidRPr="00816AA6" w:rsidTr="00E0623D">
        <w:tc>
          <w:tcPr>
            <w:tcW w:w="4803"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DIRECTION DE</w:t>
            </w:r>
            <w:r>
              <w:rPr>
                <w:rFonts w:ascii="Arial Black" w:hAnsi="Arial Black"/>
                <w:b/>
                <w:spacing w:val="-2"/>
              </w:rPr>
              <w:t xml:space="preserve">S SYSTEMES </w:t>
            </w:r>
            <w:r w:rsidRPr="00816AA6">
              <w:rPr>
                <w:rFonts w:ascii="Arial Black" w:hAnsi="Arial Black"/>
                <w:b/>
                <w:spacing w:val="-2"/>
              </w:rPr>
              <w:t xml:space="preserve"> </w:t>
            </w:r>
            <w:r>
              <w:rPr>
                <w:rFonts w:ascii="Arial Black" w:hAnsi="Arial Black"/>
                <w:b/>
                <w:spacing w:val="-2"/>
              </w:rPr>
              <w:t>D’INFORMATION</w:t>
            </w:r>
          </w:p>
          <w:p w:rsidR="00BE237F" w:rsidRPr="00816AA6" w:rsidRDefault="00BE237F"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686" w:type="dxa"/>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BE237F" w:rsidRPr="00816AA6" w:rsidRDefault="00BE237F" w:rsidP="00E0623D">
            <w:pPr>
              <w:tabs>
                <w:tab w:val="right" w:pos="9000"/>
              </w:tabs>
              <w:suppressAutoHyphens/>
              <w:spacing w:after="0" w:line="240" w:lineRule="auto"/>
              <w:rPr>
                <w:rFonts w:ascii="Arial Black" w:hAnsi="Arial Black"/>
                <w:b/>
                <w:spacing w:val="-2"/>
              </w:rPr>
            </w:pPr>
            <w:r>
              <w:rPr>
                <w:b/>
                <w:spacing w:val="-2"/>
                <w:szCs w:val="24"/>
              </w:rPr>
              <w:t xml:space="preserve">                                      </w:t>
            </w:r>
            <w:r w:rsidRPr="00673E05">
              <w:rPr>
                <w:b/>
                <w:spacing w:val="-2"/>
                <w:szCs w:val="24"/>
              </w:rPr>
              <w:t>*********</w:t>
            </w:r>
          </w:p>
        </w:tc>
        <w:tc>
          <w:tcPr>
            <w:tcW w:w="555"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E237F" w:rsidRPr="00816AA6" w:rsidRDefault="00BE237F" w:rsidP="00E0623D">
            <w:pPr>
              <w:tabs>
                <w:tab w:val="right" w:pos="9000"/>
              </w:tabs>
              <w:suppressAutoHyphens/>
              <w:spacing w:after="0" w:line="240" w:lineRule="auto"/>
              <w:jc w:val="center"/>
              <w:rPr>
                <w:rFonts w:ascii="Arial Black" w:hAnsi="Arial Black"/>
                <w:b/>
                <w:spacing w:val="-2"/>
              </w:rPr>
            </w:pPr>
          </w:p>
        </w:tc>
      </w:tr>
    </w:tbl>
    <w:p w:rsidR="00BE237F" w:rsidRPr="00AE35A0" w:rsidRDefault="00BE237F" w:rsidP="00BE237F">
      <w:pPr>
        <w:pStyle w:val="Sansinterligne"/>
        <w:rPr>
          <w:sz w:val="16"/>
        </w:rPr>
      </w:pPr>
    </w:p>
    <w:p w:rsidR="00BE237F" w:rsidRPr="00501E43" w:rsidRDefault="00BE237F" w:rsidP="00BE237F">
      <w:pPr>
        <w:jc w:val="center"/>
        <w:rPr>
          <w:rFonts w:ascii="Times New Roman" w:hAnsi="Times New Roman"/>
          <w:b/>
          <w:sz w:val="36"/>
          <w:szCs w:val="36"/>
        </w:rPr>
      </w:pPr>
      <w:r w:rsidRPr="00501E43">
        <w:rPr>
          <w:rFonts w:ascii="Times New Roman" w:hAnsi="Times New Roman"/>
          <w:b/>
          <w:sz w:val="36"/>
          <w:szCs w:val="36"/>
        </w:rPr>
        <w:t>Avis d’Appel d’Offres Ouvert (AAOO)</w:t>
      </w:r>
    </w:p>
    <w:p w:rsidR="00BE237F" w:rsidRDefault="00BE237F" w:rsidP="00BE237F">
      <w:pPr>
        <w:jc w:val="center"/>
        <w:rPr>
          <w:rFonts w:ascii="Times New Roman" w:hAnsi="Times New Roman"/>
          <w:b/>
          <w:sz w:val="24"/>
          <w:szCs w:val="24"/>
        </w:rPr>
      </w:pPr>
      <w:r>
        <w:rPr>
          <w:rFonts w:ascii="Times New Roman" w:hAnsi="Times New Roman"/>
          <w:b/>
          <w:sz w:val="24"/>
          <w:szCs w:val="24"/>
        </w:rPr>
        <w:t xml:space="preserve">DIRECTION GENERALE DES DOUANES </w:t>
      </w:r>
    </w:p>
    <w:p w:rsidR="00BE237F" w:rsidRPr="00355645" w:rsidRDefault="00BE237F" w:rsidP="00BE237F">
      <w:pPr>
        <w:jc w:val="center"/>
        <w:rPr>
          <w:rFonts w:ascii="Times New Roman" w:hAnsi="Times New Roman"/>
          <w:b/>
          <w:sz w:val="24"/>
          <w:szCs w:val="24"/>
        </w:rPr>
      </w:pPr>
      <w:r>
        <w:rPr>
          <w:rFonts w:ascii="Times New Roman" w:hAnsi="Times New Roman"/>
          <w:b/>
          <w:sz w:val="24"/>
          <w:szCs w:val="24"/>
        </w:rPr>
        <w:t>AAO N°003/MEF/DGD-2024</w:t>
      </w:r>
    </w:p>
    <w:p w:rsidR="00BE237F" w:rsidRPr="00603401" w:rsidRDefault="00BE237F" w:rsidP="00BE237F">
      <w:pPr>
        <w:numPr>
          <w:ilvl w:val="0"/>
          <w:numId w:val="1"/>
        </w:numPr>
        <w:spacing w:before="120" w:after="120" w:line="276" w:lineRule="auto"/>
        <w:jc w:val="both"/>
        <w:rPr>
          <w:rFonts w:ascii="Times New Roman" w:eastAsia="Times New Roman" w:hAnsi="Times New Roman"/>
          <w:b/>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La Direction Générale des Douanes dispose de fonds sur la Redevance Informatique</w:t>
      </w:r>
      <w:r>
        <w:rPr>
          <w:rFonts w:ascii="Times New Roman" w:eastAsia="Times New Roman" w:hAnsi="Times New Roman"/>
          <w:sz w:val="24"/>
          <w:szCs w:val="20"/>
          <w:shd w:val="clear" w:color="auto" w:fill="FFFFFF"/>
          <w:lang w:eastAsia="fr-FR"/>
        </w:rPr>
        <w:t xml:space="preserve"> exercice 2024</w:t>
      </w:r>
      <w:r w:rsidRPr="00AE0B90">
        <w:rPr>
          <w:rFonts w:ascii="Times New Roman" w:eastAsia="Times New Roman" w:hAnsi="Times New Roman"/>
          <w:sz w:val="24"/>
          <w:szCs w:val="20"/>
          <w:shd w:val="clear" w:color="auto" w:fill="FFFFFF"/>
          <w:lang w:eastAsia="fr-FR"/>
        </w:rPr>
        <w:t>, afin de fi</w:t>
      </w:r>
      <w:r>
        <w:rPr>
          <w:rFonts w:ascii="Times New Roman" w:eastAsia="Times New Roman" w:hAnsi="Times New Roman"/>
          <w:sz w:val="24"/>
          <w:szCs w:val="20"/>
          <w:shd w:val="clear" w:color="auto" w:fill="FFFFFF"/>
          <w:lang w:eastAsia="fr-FR"/>
        </w:rPr>
        <w:t>nancer ce marché,</w:t>
      </w:r>
      <w:r w:rsidRPr="00AE0B90">
        <w:rPr>
          <w:rFonts w:ascii="Times New Roman" w:eastAsia="Times New Roman" w:hAnsi="Times New Roman"/>
          <w:sz w:val="24"/>
          <w:szCs w:val="20"/>
          <w:shd w:val="clear" w:color="auto" w:fill="FFFFFF"/>
          <w:lang w:eastAsia="fr-FR"/>
        </w:rPr>
        <w:t xml:space="preserve"> et a l’intention d’utiliser une partie de ces fonds pour effectuer des paiements</w:t>
      </w:r>
      <w:r>
        <w:rPr>
          <w:rFonts w:ascii="Times New Roman" w:eastAsia="Times New Roman" w:hAnsi="Times New Roman"/>
          <w:sz w:val="24"/>
          <w:szCs w:val="20"/>
          <w:shd w:val="clear" w:color="auto" w:fill="FFFFFF"/>
          <w:lang w:eastAsia="fr-FR"/>
        </w:rPr>
        <w:t xml:space="preserve"> au titre du Marché relatif à la </w:t>
      </w:r>
      <w:r w:rsidRPr="00603401">
        <w:rPr>
          <w:rFonts w:ascii="Times New Roman" w:eastAsia="Times New Roman" w:hAnsi="Times New Roman"/>
          <w:b/>
          <w:sz w:val="24"/>
          <w:szCs w:val="20"/>
          <w:shd w:val="clear" w:color="auto" w:fill="FFFFFF"/>
          <w:lang w:eastAsia="fr-FR"/>
        </w:rPr>
        <w:t>fourniture de matériels informatiques (Micro-ordinateurs, bi-écran</w:t>
      </w:r>
      <w:r>
        <w:rPr>
          <w:rFonts w:ascii="Times New Roman" w:eastAsia="Times New Roman" w:hAnsi="Times New Roman"/>
          <w:b/>
          <w:sz w:val="24"/>
          <w:szCs w:val="20"/>
          <w:shd w:val="clear" w:color="auto" w:fill="FFFFFF"/>
          <w:lang w:eastAsia="fr-FR"/>
        </w:rPr>
        <w:t>s</w:t>
      </w:r>
      <w:r w:rsidRPr="00603401">
        <w:rPr>
          <w:rFonts w:ascii="Times New Roman" w:eastAsia="Times New Roman" w:hAnsi="Times New Roman"/>
          <w:b/>
          <w:sz w:val="24"/>
          <w:szCs w:val="20"/>
          <w:shd w:val="clear" w:color="auto" w:fill="FFFFFF"/>
          <w:lang w:eastAsia="fr-FR"/>
        </w:rPr>
        <w:t xml:space="preserve"> et portables)   en lot unique.</w:t>
      </w:r>
    </w:p>
    <w:p w:rsidR="00BE237F" w:rsidRPr="00603401" w:rsidRDefault="00BE237F" w:rsidP="00BE237F">
      <w:pPr>
        <w:numPr>
          <w:ilvl w:val="0"/>
          <w:numId w:val="1"/>
        </w:numPr>
        <w:spacing w:before="120" w:after="120" w:line="276" w:lineRule="auto"/>
        <w:jc w:val="both"/>
        <w:rPr>
          <w:rFonts w:ascii="Times New Roman" w:eastAsia="Times New Roman" w:hAnsi="Times New Roman"/>
          <w:b/>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 xml:space="preserve">La Direction Générale des Douanes sollicite des offres fermées de la part de candidats éligibles et répondant aux qualifications à </w:t>
      </w:r>
      <w:r w:rsidRPr="00603401">
        <w:rPr>
          <w:rFonts w:ascii="Times New Roman" w:eastAsia="Times New Roman" w:hAnsi="Times New Roman"/>
          <w:b/>
          <w:sz w:val="24"/>
          <w:szCs w:val="20"/>
          <w:shd w:val="clear" w:color="auto" w:fill="FFFFFF"/>
          <w:lang w:eastAsia="fr-FR"/>
        </w:rPr>
        <w:t>fourniture de matériels informatiques (Micro-ordinateurs, bi-écran</w:t>
      </w:r>
      <w:r>
        <w:rPr>
          <w:rFonts w:ascii="Times New Roman" w:eastAsia="Times New Roman" w:hAnsi="Times New Roman"/>
          <w:b/>
          <w:sz w:val="24"/>
          <w:szCs w:val="20"/>
          <w:shd w:val="clear" w:color="auto" w:fill="FFFFFF"/>
          <w:lang w:eastAsia="fr-FR"/>
        </w:rPr>
        <w:t>s</w:t>
      </w:r>
      <w:r w:rsidRPr="00603401">
        <w:rPr>
          <w:rFonts w:ascii="Times New Roman" w:eastAsia="Times New Roman" w:hAnsi="Times New Roman"/>
          <w:b/>
          <w:sz w:val="24"/>
          <w:szCs w:val="20"/>
          <w:shd w:val="clear" w:color="auto" w:fill="FFFFFF"/>
          <w:lang w:eastAsia="fr-FR"/>
        </w:rPr>
        <w:t xml:space="preserve"> et portables)   en lot unique.</w:t>
      </w:r>
    </w:p>
    <w:p w:rsidR="00BE237F" w:rsidRPr="00BD6E11" w:rsidRDefault="00BE237F" w:rsidP="00BE237F">
      <w:pPr>
        <w:spacing w:before="120" w:after="0"/>
        <w:ind w:left="720"/>
        <w:jc w:val="both"/>
        <w:rPr>
          <w:rFonts w:ascii="Times New Roman" w:hAnsi="Times New Roman"/>
          <w:color w:val="FF0000"/>
          <w:sz w:val="24"/>
          <w:szCs w:val="24"/>
        </w:rPr>
      </w:pPr>
    </w:p>
    <w:p w:rsidR="00BE237F" w:rsidRPr="00BD6E11" w:rsidRDefault="00BE237F" w:rsidP="00BE237F">
      <w:pPr>
        <w:pStyle w:val="Paragraphedeliste"/>
        <w:numPr>
          <w:ilvl w:val="0"/>
          <w:numId w:val="2"/>
        </w:numPr>
        <w:spacing w:after="0" w:line="360" w:lineRule="auto"/>
        <w:jc w:val="both"/>
        <w:rPr>
          <w:rFonts w:ascii="Times New Roman" w:hAnsi="Times New Roman"/>
          <w:b/>
          <w:color w:val="000000"/>
          <w:sz w:val="24"/>
          <w:szCs w:val="24"/>
        </w:rPr>
      </w:pPr>
      <w:r w:rsidRPr="002742DA">
        <w:rPr>
          <w:rFonts w:ascii="Times New Roman" w:eastAsia="Times New Roman" w:hAnsi="Times New Roman"/>
          <w:b/>
          <w:color w:val="000000"/>
          <w:sz w:val="24"/>
          <w:szCs w:val="24"/>
          <w:lang w:eastAsia="fr-FR"/>
        </w:rPr>
        <w:t xml:space="preserve"> </w:t>
      </w:r>
      <w:r>
        <w:rPr>
          <w:rFonts w:ascii="Times New Roman" w:eastAsia="Times New Roman" w:hAnsi="Times New Roman"/>
          <w:b/>
          <w:color w:val="000000"/>
          <w:sz w:val="24"/>
          <w:szCs w:val="24"/>
          <w:lang w:eastAsia="fr-FR"/>
        </w:rPr>
        <w:t xml:space="preserve"> Ordinateurs bureautiques et bi-écrans avec accessoires ;</w:t>
      </w:r>
    </w:p>
    <w:p w:rsidR="00BE237F" w:rsidRDefault="00BE237F" w:rsidP="00BE237F">
      <w:pPr>
        <w:pStyle w:val="Paragraphedeliste"/>
        <w:numPr>
          <w:ilvl w:val="0"/>
          <w:numId w:val="2"/>
        </w:numPr>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lang w:eastAsia="fr-FR"/>
        </w:rPr>
        <w:t xml:space="preserve">  Ordinateurs Portables. </w:t>
      </w:r>
    </w:p>
    <w:p w:rsidR="00BE237F" w:rsidRPr="005E02DA" w:rsidRDefault="00BE237F" w:rsidP="00BE237F">
      <w:pPr>
        <w:pStyle w:val="Paragraphedeliste"/>
        <w:spacing w:after="0" w:line="360" w:lineRule="auto"/>
        <w:ind w:left="1080"/>
        <w:jc w:val="both"/>
        <w:rPr>
          <w:rFonts w:ascii="Times New Roman" w:hAnsi="Times New Roman"/>
          <w:b/>
          <w:color w:val="000000"/>
          <w:sz w:val="24"/>
          <w:szCs w:val="24"/>
        </w:rPr>
      </w:pPr>
    </w:p>
    <w:p w:rsidR="00BE237F" w:rsidRPr="00BF5B1F" w:rsidRDefault="00BE237F" w:rsidP="00BE237F">
      <w:pPr>
        <w:pStyle w:val="Paragraphedeliste"/>
        <w:numPr>
          <w:ilvl w:val="0"/>
          <w:numId w:val="1"/>
        </w:numPr>
        <w:spacing w:after="0" w:line="360" w:lineRule="auto"/>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BE237F" w:rsidRPr="009278E2" w:rsidRDefault="00BE237F" w:rsidP="00BE237F">
      <w:pPr>
        <w:numPr>
          <w:ilvl w:val="0"/>
          <w:numId w:val="1"/>
        </w:numPr>
        <w:spacing w:before="120" w:after="120" w:line="240"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candidats intéressés peuvent obtenir des informations auprès de la </w:t>
      </w:r>
      <w:r w:rsidRPr="00AE0B90">
        <w:rPr>
          <w:rFonts w:ascii="Times New Roman" w:eastAsia="Times New Roman" w:hAnsi="Times New Roman"/>
          <w:b/>
          <w:sz w:val="24"/>
          <w:szCs w:val="20"/>
          <w:shd w:val="clear" w:color="auto" w:fill="FFFFFF"/>
          <w:lang w:eastAsia="fr-FR"/>
        </w:rPr>
        <w:t>Direction des Systèmes d’Information</w:t>
      </w:r>
      <w:r w:rsidRPr="00AE0B90">
        <w:rPr>
          <w:rFonts w:ascii="Times New Roman" w:eastAsia="Times New Roman" w:hAnsi="Times New Roman"/>
          <w:sz w:val="24"/>
          <w:szCs w:val="20"/>
          <w:shd w:val="clear" w:color="auto" w:fill="FFFFFF"/>
          <w:lang w:eastAsia="fr-FR"/>
        </w:rPr>
        <w:t xml:space="preserve"> et prendre connaissance du Dossier d’Appel d’offres ouvert  à l’adresse mentionnée ci-après : </w:t>
      </w:r>
      <w:r w:rsidRPr="00AE0B90">
        <w:rPr>
          <w:rFonts w:ascii="Times New Roman" w:eastAsia="Times New Roman" w:hAnsi="Times New Roman"/>
          <w:b/>
          <w:sz w:val="24"/>
          <w:szCs w:val="20"/>
          <w:shd w:val="clear" w:color="auto" w:fill="FFFFFF"/>
          <w:lang w:eastAsia="fr-FR"/>
        </w:rPr>
        <w:t xml:space="preserve">Direction Générale des Douanes </w:t>
      </w:r>
      <w:proofErr w:type="spellStart"/>
      <w:r w:rsidRPr="00AE0B90">
        <w:rPr>
          <w:rFonts w:ascii="Times New Roman" w:eastAsia="Times New Roman" w:hAnsi="Times New Roman"/>
          <w:b/>
          <w:sz w:val="24"/>
          <w:szCs w:val="20"/>
          <w:shd w:val="clear" w:color="auto" w:fill="FFFFFF"/>
          <w:lang w:eastAsia="fr-FR"/>
        </w:rPr>
        <w:t>Samanko</w:t>
      </w:r>
      <w:proofErr w:type="spellEnd"/>
      <w:r w:rsidRPr="00AE0B90">
        <w:rPr>
          <w:rFonts w:ascii="Times New Roman" w:eastAsia="Times New Roman" w:hAnsi="Times New Roman"/>
          <w:b/>
          <w:sz w:val="24"/>
          <w:szCs w:val="20"/>
          <w:shd w:val="clear" w:color="auto" w:fill="FFFFFF"/>
          <w:lang w:eastAsia="fr-FR"/>
        </w:rPr>
        <w:t xml:space="preserve"> 2 de 8 heures à 16 heures.</w:t>
      </w:r>
    </w:p>
    <w:p w:rsidR="00BE237F" w:rsidRDefault="00BE237F" w:rsidP="00BE237F">
      <w:pPr>
        <w:spacing w:before="120" w:after="120" w:line="240" w:lineRule="auto"/>
        <w:ind w:left="720"/>
        <w:jc w:val="both"/>
        <w:rPr>
          <w:rFonts w:ascii="Times New Roman" w:eastAsia="Times New Roman" w:hAnsi="Times New Roman"/>
          <w:sz w:val="24"/>
          <w:szCs w:val="20"/>
          <w:shd w:val="clear" w:color="auto" w:fill="FFFFFF"/>
          <w:lang w:eastAsia="fr-FR"/>
        </w:rPr>
      </w:pPr>
    </w:p>
    <w:p w:rsidR="00BE237F" w:rsidRDefault="00BE237F" w:rsidP="00BE237F">
      <w:pPr>
        <w:spacing w:before="120" w:after="120" w:line="240" w:lineRule="auto"/>
        <w:ind w:left="720"/>
        <w:jc w:val="both"/>
        <w:rPr>
          <w:rFonts w:ascii="Times New Roman" w:eastAsia="Times New Roman" w:hAnsi="Times New Roman"/>
          <w:sz w:val="24"/>
          <w:szCs w:val="20"/>
          <w:shd w:val="clear" w:color="auto" w:fill="FFFFFF"/>
          <w:lang w:eastAsia="fr-FR"/>
        </w:rPr>
      </w:pPr>
    </w:p>
    <w:p w:rsidR="00BE237F" w:rsidRPr="00AE0B90" w:rsidRDefault="00BE237F" w:rsidP="00BE237F">
      <w:pPr>
        <w:spacing w:before="120" w:after="120" w:line="240" w:lineRule="auto"/>
        <w:ind w:left="720"/>
        <w:jc w:val="both"/>
        <w:rPr>
          <w:rFonts w:ascii="Times New Roman" w:eastAsia="Times New Roman" w:hAnsi="Times New Roman"/>
          <w:sz w:val="24"/>
          <w:szCs w:val="20"/>
          <w:shd w:val="clear" w:color="auto" w:fill="FFFFFF"/>
          <w:lang w:eastAsia="fr-FR"/>
        </w:rPr>
      </w:pPr>
    </w:p>
    <w:p w:rsidR="00BE237F" w:rsidRPr="00BD6E11" w:rsidRDefault="00BE237F" w:rsidP="00BE237F">
      <w:pPr>
        <w:spacing w:before="120" w:after="120" w:line="240" w:lineRule="auto"/>
        <w:jc w:val="both"/>
        <w:rPr>
          <w:rFonts w:ascii="Times New Roman" w:eastAsia="Times New Roman" w:hAnsi="Times New Roman"/>
          <w:sz w:val="24"/>
          <w:szCs w:val="20"/>
          <w:shd w:val="clear" w:color="auto" w:fill="FFFFFF"/>
          <w:lang w:eastAsia="fr-FR"/>
        </w:rPr>
      </w:pPr>
      <w:r>
        <w:rPr>
          <w:rFonts w:ascii="Times New Roman" w:hAnsi="Times New Roman"/>
          <w:b/>
          <w:bCs/>
          <w:sz w:val="24"/>
          <w:szCs w:val="24"/>
        </w:rPr>
        <w:t xml:space="preserve">      </w:t>
      </w:r>
      <w:r w:rsidRPr="007E48E3">
        <w:rPr>
          <w:rFonts w:ascii="Times New Roman" w:hAnsi="Times New Roman"/>
          <w:bCs/>
          <w:sz w:val="24"/>
          <w:szCs w:val="24"/>
        </w:rPr>
        <w:t>5</w:t>
      </w:r>
      <w:r>
        <w:rPr>
          <w:rFonts w:ascii="Times New Roman" w:hAnsi="Times New Roman"/>
          <w:bCs/>
          <w:sz w:val="24"/>
          <w:szCs w:val="24"/>
        </w:rPr>
        <w:t xml:space="preserve">. </w:t>
      </w:r>
      <w:r w:rsidRPr="00BD6E11">
        <w:rPr>
          <w:color w:val="000000"/>
        </w:rPr>
        <w:t xml:space="preserve"> </w:t>
      </w:r>
      <w:r w:rsidRPr="00BD6E11">
        <w:rPr>
          <w:rFonts w:ascii="Times New Roman" w:eastAsia="Times New Roman" w:hAnsi="Times New Roman"/>
          <w:sz w:val="24"/>
          <w:szCs w:val="20"/>
          <w:shd w:val="clear" w:color="auto" w:fill="FFFFFF"/>
          <w:lang w:eastAsia="fr-FR"/>
        </w:rPr>
        <w:t>Les exigences en matière de qualifications sont :</w:t>
      </w:r>
    </w:p>
    <w:p w:rsidR="00BE237F" w:rsidRPr="002D2EC0" w:rsidRDefault="00BE237F" w:rsidP="00BE237F">
      <w:pPr>
        <w:numPr>
          <w:ilvl w:val="0"/>
          <w:numId w:val="5"/>
        </w:numPr>
        <w:spacing w:before="120" w:after="120" w:line="240" w:lineRule="auto"/>
        <w:jc w:val="both"/>
        <w:rPr>
          <w:color w:val="000000"/>
        </w:rPr>
      </w:pPr>
      <w:r w:rsidRPr="002D2EC0">
        <w:rPr>
          <w:b/>
          <w:bCs/>
          <w:color w:val="000000"/>
        </w:rPr>
        <w:t>Capacité financière</w:t>
      </w:r>
      <w:r w:rsidRPr="002D2EC0">
        <w:rPr>
          <w:color w:val="000000"/>
        </w:rPr>
        <w:t> :</w:t>
      </w:r>
    </w:p>
    <w:p w:rsidR="00BE237F" w:rsidRPr="00BD6E11" w:rsidRDefault="00BE237F" w:rsidP="00BE237F">
      <w:pPr>
        <w:spacing w:before="120" w:after="120"/>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 xml:space="preserve"> Le soumissionnaire devra joindre à son offre les autres documents suivants : </w:t>
      </w:r>
    </w:p>
    <w:p w:rsidR="00BE237F" w:rsidRPr="00BD6E11" w:rsidRDefault="00BE237F" w:rsidP="00BE237F">
      <w:pPr>
        <w:numPr>
          <w:ilvl w:val="0"/>
          <w:numId w:val="6"/>
        </w:numPr>
        <w:spacing w:before="120" w:after="120" w:line="24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lastRenderedPageBreak/>
        <w:t xml:space="preserve">Le chiffre d’affaires Moyen des trois dernières années (2021, 2022 et 2023) doit être égal au montant de l’offre. </w:t>
      </w:r>
    </w:p>
    <w:p w:rsidR="00BE237F" w:rsidRPr="00BD6E11" w:rsidRDefault="00BE237F" w:rsidP="00BE237F">
      <w:pPr>
        <w:numPr>
          <w:ilvl w:val="0"/>
          <w:numId w:val="6"/>
        </w:numPr>
        <w:spacing w:before="120" w:after="120" w:line="24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 xml:space="preserve">Les bilans ou extraits des bilans et comptes d’exploitation des années (2021, 2022 et 2023), certifiés par un expert-comptable agréé ou attestés par un comptable agréé inscrit à l’Ordre. Sur ces bilans, doit figurer la mention suivante apposée par le service compétent des impôts « bilan ou extrait de bilan conforme aux déclarations souscrites au service des impôts » ; </w:t>
      </w:r>
    </w:p>
    <w:p w:rsidR="00BE237F" w:rsidRPr="00420D47" w:rsidRDefault="00BE237F" w:rsidP="00BE237F">
      <w:pPr>
        <w:numPr>
          <w:ilvl w:val="0"/>
          <w:numId w:val="6"/>
        </w:numPr>
        <w:spacing w:after="0" w:line="276" w:lineRule="auto"/>
        <w:jc w:val="both"/>
        <w:rPr>
          <w:rFonts w:ascii="Times New Roman" w:hAnsi="Times New Roman"/>
          <w:iCs/>
          <w:sz w:val="24"/>
          <w:szCs w:val="24"/>
        </w:rPr>
      </w:pPr>
      <w:r w:rsidRPr="00420D47">
        <w:rPr>
          <w:rFonts w:ascii="Times New Roman" w:hAnsi="Times New Roman"/>
          <w:iCs/>
          <w:sz w:val="24"/>
          <w:szCs w:val="24"/>
        </w:rPr>
        <w:t xml:space="preserve">Les sociétés nouvellement créées et dont la date d’établissement du premier bilan n’est pas arrivée à la date de dépôt des offres en sont dispensées. Toutefois, elles doivent fournir une attestation bancaire de disponibilité de fonds ou d’engagement bancaire à financer le marché, pour un montant au moins égal </w:t>
      </w:r>
      <w:r w:rsidRPr="00124CFA">
        <w:rPr>
          <w:rFonts w:ascii="Times New Roman" w:hAnsi="Times New Roman"/>
          <w:b/>
          <w:iCs/>
          <w:sz w:val="24"/>
          <w:szCs w:val="24"/>
        </w:rPr>
        <w:t>à soixante millions (60 000 000) Francs CFA.</w:t>
      </w:r>
      <w:r w:rsidRPr="00420D47">
        <w:rPr>
          <w:rFonts w:ascii="Times New Roman" w:hAnsi="Times New Roman"/>
          <w:iCs/>
          <w:sz w:val="24"/>
          <w:szCs w:val="24"/>
        </w:rPr>
        <w:t xml:space="preserve"> L’attestation doit être conforme au modèle annexé dans le document </w:t>
      </w:r>
    </w:p>
    <w:p w:rsidR="00BE237F" w:rsidRPr="00BD6E11" w:rsidRDefault="00BE237F" w:rsidP="00BE237F">
      <w:pPr>
        <w:numPr>
          <w:ilvl w:val="0"/>
          <w:numId w:val="5"/>
        </w:numPr>
        <w:spacing w:before="120" w:after="120" w:line="24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Capacité technique et expérience :</w:t>
      </w:r>
    </w:p>
    <w:p w:rsidR="00BE237F" w:rsidRPr="00BD6E11" w:rsidRDefault="00BE237F" w:rsidP="00BE237F">
      <w:pPr>
        <w:numPr>
          <w:ilvl w:val="0"/>
          <w:numId w:val="7"/>
        </w:numPr>
        <w:spacing w:before="120" w:after="120" w:line="24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Le Soumissionnaire doit prouver, documentation à l’appui, qu’il satisfait aux exigences d’expérience ci-après : Au moins  deux  (02) marchés similaires et doivent être prouvé par l’attestation de bonne exécution et/ou le  procès-verbal de réception et la copie de la page de garde et de la page de signature du marché correspondant ou tout document émanant d’institutions publiques ou parapubliques ou internationales</w:t>
      </w:r>
      <w:r>
        <w:rPr>
          <w:rFonts w:ascii="Times New Roman" w:eastAsia="Times New Roman" w:hAnsi="Times New Roman"/>
          <w:sz w:val="24"/>
          <w:szCs w:val="20"/>
          <w:shd w:val="clear" w:color="auto" w:fill="FFFFFF"/>
          <w:lang w:eastAsia="fr-FR"/>
        </w:rPr>
        <w:t xml:space="preserve"> </w:t>
      </w:r>
      <w:r>
        <w:rPr>
          <w:rFonts w:ascii="Times New Roman" w:hAnsi="Times New Roman"/>
          <w:iCs/>
          <w:sz w:val="24"/>
          <w:szCs w:val="24"/>
        </w:rPr>
        <w:t>d’une valeur moyenne au moins égale à 80 millions</w:t>
      </w:r>
      <w:r w:rsidRPr="00BD6E11">
        <w:rPr>
          <w:rFonts w:ascii="Times New Roman" w:eastAsia="Times New Roman" w:hAnsi="Times New Roman"/>
          <w:sz w:val="24"/>
          <w:szCs w:val="20"/>
          <w:shd w:val="clear" w:color="auto" w:fill="FFFFFF"/>
          <w:lang w:eastAsia="fr-FR"/>
        </w:rPr>
        <w:t xml:space="preserve"> permettant de justifier de sa capacité à exécuter le marché dans les règles de l’art pendant la période 2019 à 2023.</w:t>
      </w:r>
    </w:p>
    <w:p w:rsidR="00BE237F" w:rsidRPr="00BD6E11" w:rsidRDefault="00BE237F" w:rsidP="00BE237F">
      <w:pPr>
        <w:numPr>
          <w:ilvl w:val="0"/>
          <w:numId w:val="7"/>
        </w:numPr>
        <w:spacing w:after="0" w:line="24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Les sociétés nouvellement créées et dont la date d’établissement du premier bilan n’est pas arrivée à la date limite de dépôt des offres sont dispensées de la fourniture de la preuve de l’expérience similaire. Toutefois, elles doivent fournir toutes les preuves qu’elles sont aptes à exécuter correctement le présent marché. Elles fourniront également la liste du personnel clé qualifié, les curriculums vitae actualisés et signés par les personnes concernées, le gérant ou l’administrateur de la structure et tout autre document que la nouvelle société juge utile d’ajouter pour l’appréciation de ses capacités techniques et professionnelles ;</w:t>
      </w:r>
    </w:p>
    <w:p w:rsidR="00BE237F" w:rsidRPr="00BD6E11" w:rsidRDefault="00BE237F" w:rsidP="00BE237F">
      <w:pPr>
        <w:ind w:left="1080"/>
        <w:rPr>
          <w:rFonts w:ascii="Times New Roman" w:eastAsia="Times New Roman" w:hAnsi="Times New Roman"/>
          <w:sz w:val="24"/>
          <w:szCs w:val="20"/>
          <w:shd w:val="clear" w:color="auto" w:fill="FFFFFF"/>
          <w:lang w:eastAsia="fr-FR"/>
        </w:rPr>
      </w:pPr>
    </w:p>
    <w:p w:rsidR="00BE237F" w:rsidRPr="00BD6E11" w:rsidRDefault="00BE237F" w:rsidP="00BE237F">
      <w:pPr>
        <w:spacing w:before="120" w:after="120" w:line="24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Les candidats devront joindre à leurs offres les pièces administratives suivantes :</w:t>
      </w:r>
    </w:p>
    <w:p w:rsidR="00BE237F" w:rsidRPr="00BD6E11" w:rsidRDefault="00BE237F" w:rsidP="00BE237F">
      <w:pPr>
        <w:numPr>
          <w:ilvl w:val="0"/>
          <w:numId w:val="8"/>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La soumission de l’offre dûment remplie et signée par les personnes qualifiées ;</w:t>
      </w:r>
    </w:p>
    <w:p w:rsidR="00BE237F" w:rsidRPr="00BD6E11" w:rsidRDefault="00BE237F" w:rsidP="00BE237F">
      <w:pPr>
        <w:numPr>
          <w:ilvl w:val="0"/>
          <w:numId w:val="8"/>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L’Attestation d’immatriculation au Registre du Commerce ou sa copie certifiée conforme ;</w:t>
      </w:r>
    </w:p>
    <w:p w:rsidR="00BE237F" w:rsidRPr="00BD6E11" w:rsidRDefault="00BE237F" w:rsidP="00BE237F">
      <w:pPr>
        <w:numPr>
          <w:ilvl w:val="0"/>
          <w:numId w:val="8"/>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Le quitus fiscal en cours de validité ou sa copie certifiée conforme ;</w:t>
      </w:r>
    </w:p>
    <w:p w:rsidR="00BE237F" w:rsidRPr="00BD6E11" w:rsidRDefault="00BE237F" w:rsidP="00BE237F">
      <w:pPr>
        <w:numPr>
          <w:ilvl w:val="0"/>
          <w:numId w:val="8"/>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Le certificat de non-faillite datant de moins de 3 mois ou sa copie certifiée conforme ;</w:t>
      </w:r>
    </w:p>
    <w:p w:rsidR="00BE237F" w:rsidRPr="00BD6E11" w:rsidRDefault="00BE237F" w:rsidP="00BE237F">
      <w:pPr>
        <w:numPr>
          <w:ilvl w:val="0"/>
          <w:numId w:val="8"/>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L’attestation de visite des sites ;</w:t>
      </w:r>
    </w:p>
    <w:p w:rsidR="00BE237F" w:rsidRPr="00BD6E11" w:rsidRDefault="00BE237F" w:rsidP="00BE237F">
      <w:pPr>
        <w:numPr>
          <w:ilvl w:val="0"/>
          <w:numId w:val="8"/>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Caution de soumission.</w:t>
      </w:r>
    </w:p>
    <w:p w:rsidR="00BE237F" w:rsidRPr="00BD6E11" w:rsidRDefault="00BE237F" w:rsidP="00BE237F">
      <w:pPr>
        <w:spacing w:line="360" w:lineRule="auto"/>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Toutefois l’attributaire provisoire du marché doit obligatoirement fournir dans un délai de deux (02) jours les pièces ci-après :</w:t>
      </w:r>
    </w:p>
    <w:p w:rsidR="00BE237F" w:rsidRPr="00BD6E11" w:rsidRDefault="00BE237F" w:rsidP="00BE237F">
      <w:pPr>
        <w:numPr>
          <w:ilvl w:val="1"/>
          <w:numId w:val="3"/>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Le Statuts ;</w:t>
      </w:r>
    </w:p>
    <w:p w:rsidR="00BE237F" w:rsidRPr="00BD6E11" w:rsidRDefault="00BE237F" w:rsidP="00BE237F">
      <w:pPr>
        <w:numPr>
          <w:ilvl w:val="1"/>
          <w:numId w:val="3"/>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lastRenderedPageBreak/>
        <w:t>La carte d’identification fiscale ou sa copie certifiée conforme ;</w:t>
      </w:r>
    </w:p>
    <w:p w:rsidR="00BE237F" w:rsidRPr="00BD6E11" w:rsidRDefault="00BE237F" w:rsidP="00BE237F">
      <w:pPr>
        <w:numPr>
          <w:ilvl w:val="1"/>
          <w:numId w:val="3"/>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L’attestation INPS ou sa copie certifiée conforme ;</w:t>
      </w:r>
    </w:p>
    <w:p w:rsidR="00BE237F" w:rsidRPr="00BD6E11" w:rsidRDefault="00BE237F" w:rsidP="00BE237F">
      <w:pPr>
        <w:numPr>
          <w:ilvl w:val="1"/>
          <w:numId w:val="3"/>
        </w:numPr>
        <w:spacing w:after="0" w:line="360" w:lineRule="auto"/>
        <w:jc w:val="both"/>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L’attestation OMH ou sa copie certifiée conforme.</w:t>
      </w:r>
    </w:p>
    <w:p w:rsidR="00BE237F" w:rsidRPr="00BD6E11" w:rsidRDefault="00BE237F" w:rsidP="00BE237F">
      <w:pPr>
        <w:spacing w:line="360" w:lineRule="auto"/>
        <w:rPr>
          <w:rFonts w:ascii="Times New Roman" w:eastAsia="Times New Roman" w:hAnsi="Times New Roman"/>
          <w:sz w:val="24"/>
          <w:szCs w:val="20"/>
          <w:shd w:val="clear" w:color="auto" w:fill="FFFFFF"/>
          <w:lang w:eastAsia="fr-FR"/>
        </w:rPr>
      </w:pPr>
      <w:r w:rsidRPr="00BD6E11">
        <w:rPr>
          <w:rFonts w:ascii="Times New Roman" w:eastAsia="Times New Roman" w:hAnsi="Times New Roman"/>
          <w:sz w:val="24"/>
          <w:szCs w:val="20"/>
          <w:shd w:val="clear" w:color="auto" w:fill="FFFFFF"/>
          <w:lang w:eastAsia="fr-FR"/>
        </w:rPr>
        <w:t>La non-production d’une de ces pièces en bonne et due</w:t>
      </w:r>
      <w:r>
        <w:rPr>
          <w:rFonts w:ascii="Times New Roman" w:eastAsia="Times New Roman" w:hAnsi="Times New Roman"/>
          <w:sz w:val="24"/>
          <w:szCs w:val="20"/>
          <w:shd w:val="clear" w:color="auto" w:fill="FFFFFF"/>
          <w:lang w:eastAsia="fr-FR"/>
        </w:rPr>
        <w:t xml:space="preserve"> forme est disqualifiant.</w:t>
      </w:r>
    </w:p>
    <w:p w:rsidR="00BE237F" w:rsidRDefault="00BE237F" w:rsidP="00BE237F">
      <w:pPr>
        <w:pStyle w:val="Paragraphedeliste"/>
        <w:numPr>
          <w:ilvl w:val="0"/>
          <w:numId w:val="4"/>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candidats intéressés peuvent consulter gratuitement le dossier d’Appel d’offres complet ou le retirer à titre onéreux contre paiement</w:t>
      </w:r>
      <w:r w:rsidRPr="00AE0B90">
        <w:rPr>
          <w:rFonts w:ascii="Times New Roman" w:eastAsia="Times New Roman" w:hAnsi="Times New Roman"/>
          <w:sz w:val="24"/>
          <w:szCs w:val="20"/>
          <w:shd w:val="clear" w:color="auto" w:fill="FFFFFF"/>
          <w:lang w:eastAsia="fr-FR"/>
        </w:rPr>
        <w:footnoteReference w:id="1"/>
      </w:r>
      <w:r w:rsidRPr="00AE0B90">
        <w:rPr>
          <w:rFonts w:ascii="Times New Roman" w:eastAsia="Times New Roman" w:hAnsi="Times New Roman"/>
          <w:sz w:val="24"/>
          <w:szCs w:val="20"/>
          <w:shd w:val="clear" w:color="auto" w:fill="FFFFFF"/>
          <w:lang w:eastAsia="fr-FR"/>
        </w:rPr>
        <w:t xml:space="preserve">  d’une somme non remboursable de </w:t>
      </w:r>
      <w:r>
        <w:rPr>
          <w:rFonts w:ascii="Times New Roman" w:eastAsia="Times New Roman" w:hAnsi="Times New Roman"/>
          <w:b/>
          <w:sz w:val="24"/>
          <w:szCs w:val="20"/>
          <w:shd w:val="clear" w:color="auto" w:fill="FFFFFF"/>
          <w:lang w:eastAsia="fr-FR"/>
        </w:rPr>
        <w:t>cent m</w:t>
      </w:r>
      <w:r w:rsidRPr="00AE0B90">
        <w:rPr>
          <w:rFonts w:ascii="Times New Roman" w:eastAsia="Times New Roman" w:hAnsi="Times New Roman"/>
          <w:b/>
          <w:sz w:val="24"/>
          <w:szCs w:val="20"/>
          <w:shd w:val="clear" w:color="auto" w:fill="FFFFFF"/>
          <w:lang w:eastAsia="fr-FR"/>
        </w:rPr>
        <w:t>ille (100 000) FCFA</w:t>
      </w:r>
      <w:r w:rsidRPr="00AE0B90">
        <w:rPr>
          <w:rFonts w:ascii="Times New Roman" w:eastAsia="Times New Roman" w:hAnsi="Times New Roman"/>
          <w:sz w:val="24"/>
          <w:szCs w:val="20"/>
          <w:shd w:val="clear" w:color="auto" w:fill="FFFFFF"/>
          <w:lang w:eastAsia="fr-FR"/>
        </w:rPr>
        <w:t xml:space="preserve"> à l’adresse mentionnée ci-après: </w:t>
      </w:r>
      <w:r w:rsidRPr="00AE0B90">
        <w:rPr>
          <w:rFonts w:ascii="Times New Roman" w:eastAsia="Times New Roman" w:hAnsi="Times New Roman"/>
          <w:b/>
          <w:sz w:val="24"/>
          <w:szCs w:val="20"/>
          <w:shd w:val="clear" w:color="auto" w:fill="FFFFFF"/>
          <w:lang w:eastAsia="fr-FR"/>
        </w:rPr>
        <w:t xml:space="preserve">Direction  Générale des Douanes  </w:t>
      </w:r>
      <w:proofErr w:type="spellStart"/>
      <w:r w:rsidRPr="00AE0B90">
        <w:rPr>
          <w:rFonts w:ascii="Times New Roman" w:eastAsia="Times New Roman" w:hAnsi="Times New Roman"/>
          <w:b/>
          <w:sz w:val="24"/>
          <w:szCs w:val="20"/>
          <w:shd w:val="clear" w:color="auto" w:fill="FFFFFF"/>
          <w:lang w:eastAsia="fr-FR"/>
        </w:rPr>
        <w:t>Samanko</w:t>
      </w:r>
      <w:proofErr w:type="spellEnd"/>
      <w:r w:rsidRPr="00AE0B90">
        <w:rPr>
          <w:rFonts w:ascii="Times New Roman" w:eastAsia="Times New Roman" w:hAnsi="Times New Roman"/>
          <w:b/>
          <w:sz w:val="24"/>
          <w:szCs w:val="20"/>
          <w:shd w:val="clear" w:color="auto" w:fill="FFFFFF"/>
          <w:lang w:eastAsia="fr-FR"/>
        </w:rPr>
        <w:t xml:space="preserve"> 2 de 8 heures à 16 heures</w:t>
      </w:r>
      <w:r w:rsidRPr="00AE0B90">
        <w:rPr>
          <w:rFonts w:ascii="Times New Roman" w:eastAsia="Times New Roman" w:hAnsi="Times New Roman"/>
          <w:sz w:val="24"/>
          <w:szCs w:val="20"/>
          <w:shd w:val="clear" w:color="auto" w:fill="FFFFFF"/>
          <w:lang w:eastAsia="fr-FR"/>
        </w:rPr>
        <w:t>. La méthode de paiement sera au comptant et en espèces. Le Dossier d’Appel d’offres sera adressé par courrier ordinaire au siège de la Direction Générale des Douanes.</w:t>
      </w:r>
    </w:p>
    <w:p w:rsidR="00BE237F" w:rsidRDefault="00BE237F" w:rsidP="00BE237F">
      <w:pPr>
        <w:pStyle w:val="Paragraphedeliste"/>
        <w:spacing w:after="160" w:line="259" w:lineRule="auto"/>
        <w:jc w:val="both"/>
        <w:rPr>
          <w:rFonts w:ascii="Times New Roman" w:eastAsia="Times New Roman" w:hAnsi="Times New Roman"/>
          <w:sz w:val="24"/>
          <w:szCs w:val="20"/>
          <w:shd w:val="clear" w:color="auto" w:fill="FFFFFF"/>
          <w:lang w:eastAsia="fr-FR"/>
        </w:rPr>
      </w:pPr>
    </w:p>
    <w:p w:rsidR="00BE237F" w:rsidRDefault="00BE237F" w:rsidP="00BE237F">
      <w:pPr>
        <w:pStyle w:val="Paragraphedeliste"/>
        <w:numPr>
          <w:ilvl w:val="0"/>
          <w:numId w:val="4"/>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devront être soumises à l’adresse ci-après </w:t>
      </w:r>
      <w:r w:rsidRPr="00AE0B90">
        <w:rPr>
          <w:rFonts w:ascii="Times New Roman" w:eastAsia="Times New Roman" w:hAnsi="Times New Roman"/>
          <w:b/>
          <w:sz w:val="24"/>
          <w:szCs w:val="20"/>
          <w:shd w:val="clear" w:color="auto" w:fill="FFFFFF"/>
          <w:lang w:eastAsia="fr-FR"/>
        </w:rPr>
        <w:t xml:space="preserve">Direction Générale des Douanes samanko2  au plus tard le </w:t>
      </w:r>
      <w:proofErr w:type="gramStart"/>
      <w:r w:rsidRPr="00AE0B90">
        <w:rPr>
          <w:rFonts w:ascii="Times New Roman" w:eastAsia="Times New Roman" w:hAnsi="Times New Roman"/>
          <w:b/>
          <w:sz w:val="24"/>
          <w:szCs w:val="20"/>
          <w:shd w:val="clear" w:color="auto" w:fill="FFFFFF"/>
          <w:lang w:eastAsia="fr-FR"/>
        </w:rPr>
        <w:t>…………………………….…….…</w:t>
      </w:r>
      <w:proofErr w:type="gramEnd"/>
      <w:r w:rsidRPr="00AE0B90">
        <w:rPr>
          <w:rFonts w:ascii="Times New Roman" w:eastAsia="Times New Roman" w:hAnsi="Times New Roman"/>
          <w:b/>
          <w:sz w:val="24"/>
          <w:szCs w:val="20"/>
          <w:shd w:val="clear" w:color="auto" w:fill="FFFFFF"/>
          <w:lang w:eastAsia="fr-FR"/>
        </w:rPr>
        <w:t>à 10 heures</w:t>
      </w:r>
      <w:r w:rsidRPr="00AE0B90">
        <w:rPr>
          <w:rFonts w:ascii="Times New Roman" w:eastAsia="Times New Roman" w:hAnsi="Times New Roman"/>
          <w:sz w:val="24"/>
          <w:szCs w:val="20"/>
          <w:shd w:val="clear" w:color="auto" w:fill="FFFFFF"/>
          <w:lang w:eastAsia="fr-FR"/>
        </w:rPr>
        <w:t>. Toutefois, les offres remises en retard ne seront pas acceptées.</w:t>
      </w:r>
    </w:p>
    <w:p w:rsidR="00BE237F" w:rsidRPr="00AE0B90" w:rsidRDefault="00BE237F" w:rsidP="00BE237F">
      <w:pPr>
        <w:pStyle w:val="Paragraphedeliste"/>
        <w:spacing w:after="160" w:line="259" w:lineRule="auto"/>
        <w:ind w:left="0"/>
        <w:jc w:val="both"/>
        <w:rPr>
          <w:rFonts w:ascii="Times New Roman" w:eastAsia="Times New Roman" w:hAnsi="Times New Roman"/>
          <w:sz w:val="24"/>
          <w:szCs w:val="20"/>
          <w:shd w:val="clear" w:color="auto" w:fill="FFFFFF"/>
          <w:lang w:eastAsia="fr-FR"/>
        </w:rPr>
      </w:pPr>
    </w:p>
    <w:p w:rsidR="00BE237F" w:rsidRDefault="00BE237F" w:rsidP="00BE237F">
      <w:pPr>
        <w:pStyle w:val="Paragraphedeliste"/>
        <w:numPr>
          <w:ilvl w:val="0"/>
          <w:numId w:val="4"/>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doivent comprendre une garantie de soumission. Le montant de la caution de soumission est de </w:t>
      </w:r>
      <w:r>
        <w:rPr>
          <w:rFonts w:ascii="Times New Roman" w:eastAsia="Times New Roman" w:hAnsi="Times New Roman"/>
          <w:b/>
          <w:sz w:val="24"/>
          <w:szCs w:val="20"/>
          <w:shd w:val="clear" w:color="auto" w:fill="FFFFFF"/>
          <w:lang w:eastAsia="fr-FR"/>
        </w:rPr>
        <w:t>six millions</w:t>
      </w:r>
      <w:r w:rsidRPr="002A7473">
        <w:rPr>
          <w:rFonts w:ascii="Times New Roman" w:eastAsia="Times New Roman" w:hAnsi="Times New Roman"/>
          <w:b/>
          <w:sz w:val="24"/>
          <w:szCs w:val="20"/>
          <w:shd w:val="clear" w:color="auto" w:fill="FFFFFF"/>
          <w:lang w:eastAsia="fr-FR"/>
        </w:rPr>
        <w:t xml:space="preserve"> (</w:t>
      </w:r>
      <w:r>
        <w:rPr>
          <w:rFonts w:ascii="Times New Roman" w:eastAsia="Times New Roman" w:hAnsi="Times New Roman"/>
          <w:b/>
          <w:sz w:val="24"/>
          <w:szCs w:val="20"/>
          <w:shd w:val="clear" w:color="auto" w:fill="FFFFFF"/>
          <w:lang w:eastAsia="fr-FR"/>
        </w:rPr>
        <w:t>6 000 000</w:t>
      </w:r>
      <w:r w:rsidRPr="002A7473">
        <w:rPr>
          <w:rFonts w:ascii="Times New Roman" w:eastAsia="Times New Roman" w:hAnsi="Times New Roman"/>
          <w:b/>
          <w:sz w:val="24"/>
          <w:szCs w:val="20"/>
          <w:shd w:val="clear" w:color="auto" w:fill="FFFFFF"/>
          <w:lang w:eastAsia="fr-FR"/>
        </w:rPr>
        <w:t>) Francs CFA</w:t>
      </w:r>
      <w:r w:rsidRPr="00AE0B90">
        <w:rPr>
          <w:rFonts w:ascii="Times New Roman" w:eastAsia="Times New Roman" w:hAnsi="Times New Roman"/>
          <w:sz w:val="24"/>
          <w:szCs w:val="20"/>
          <w:shd w:val="clear" w:color="auto" w:fill="FFFFFF"/>
          <w:lang w:eastAsia="fr-FR"/>
        </w:rPr>
        <w:t>, conformément à l’article 69 du Code des marchés publics.</w:t>
      </w:r>
    </w:p>
    <w:p w:rsidR="00BE237F" w:rsidRPr="00AE0B90" w:rsidRDefault="00BE237F" w:rsidP="00BE237F">
      <w:pPr>
        <w:pStyle w:val="Paragraphedeliste"/>
        <w:spacing w:after="160" w:line="259" w:lineRule="auto"/>
        <w:jc w:val="both"/>
        <w:rPr>
          <w:rFonts w:ascii="Times New Roman" w:eastAsia="Times New Roman" w:hAnsi="Times New Roman"/>
          <w:sz w:val="24"/>
          <w:szCs w:val="20"/>
          <w:shd w:val="clear" w:color="auto" w:fill="FFFFFF"/>
          <w:lang w:eastAsia="fr-FR"/>
        </w:rPr>
      </w:pPr>
    </w:p>
    <w:p w:rsidR="00BE237F" w:rsidRPr="00AE0B90" w:rsidRDefault="00BE237F" w:rsidP="00BE237F">
      <w:pPr>
        <w:pStyle w:val="Paragraphedeliste"/>
        <w:numPr>
          <w:ilvl w:val="0"/>
          <w:numId w:val="4"/>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Soumissionnaires resteront engagés par leur offre pendant une période de 90 jours à compter de la date limite du dépôt des offres comme spécifiées au point 19.1 des IC et aux DPAO.</w:t>
      </w:r>
    </w:p>
    <w:p w:rsidR="00BE237F" w:rsidRPr="001C193C" w:rsidRDefault="00BE237F" w:rsidP="00BE237F">
      <w:pPr>
        <w:numPr>
          <w:ilvl w:val="0"/>
          <w:numId w:val="4"/>
        </w:numPr>
        <w:spacing w:before="120" w:after="120" w:line="240"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seront ouvertes en présence des représentants des soumissionnaires qui souhaitent assister à l’ouverture des plis le ………………………………………..…… à l’adresse suivante : </w:t>
      </w:r>
      <w:r w:rsidRPr="002A7473">
        <w:rPr>
          <w:rFonts w:ascii="Times New Roman" w:eastAsia="Times New Roman" w:hAnsi="Times New Roman"/>
          <w:b/>
          <w:sz w:val="24"/>
          <w:szCs w:val="20"/>
          <w:shd w:val="clear" w:color="auto" w:fill="FFFFFF"/>
          <w:lang w:eastAsia="fr-FR"/>
        </w:rPr>
        <w:t>Direction Générale des Douanes – BP 269 – Samanko2 (Commune du Mandé).</w:t>
      </w:r>
    </w:p>
    <w:p w:rsidR="00BE237F" w:rsidRPr="00944DCB" w:rsidRDefault="00BE237F" w:rsidP="00BE237F">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BE237F" w:rsidRPr="00AE0B90" w:rsidRDefault="00BE237F" w:rsidP="00BE237F">
      <w:pPr>
        <w:pStyle w:val="Retraitcorpsdetexte"/>
        <w:ind w:left="0"/>
        <w:rPr>
          <w:rFonts w:ascii="Times New Roman" w:eastAsia="Times New Roman" w:hAnsi="Times New Roman"/>
          <w:sz w:val="24"/>
          <w:szCs w:val="20"/>
          <w:shd w:val="clear" w:color="auto" w:fill="FFFFFF"/>
          <w:lang w:eastAsia="fr-FR"/>
        </w:rPr>
      </w:pPr>
      <w:r>
        <w:rPr>
          <w:rFonts w:ascii="Times New Roman" w:hAnsi="Times New Roman"/>
          <w:sz w:val="24"/>
          <w:szCs w:val="24"/>
        </w:rPr>
        <w:t xml:space="preserve">                                                                                            </w:t>
      </w:r>
      <w:r w:rsidRPr="00AE0B90">
        <w:rPr>
          <w:rFonts w:ascii="Times New Roman" w:eastAsia="Times New Roman" w:hAnsi="Times New Roman"/>
          <w:sz w:val="24"/>
          <w:szCs w:val="20"/>
          <w:shd w:val="clear" w:color="auto" w:fill="FFFFFF"/>
          <w:lang w:eastAsia="fr-FR"/>
        </w:rPr>
        <w:t>Le Directeur Général des Douanes,</w:t>
      </w:r>
    </w:p>
    <w:p w:rsidR="00BE237F" w:rsidRPr="00AE0B90" w:rsidRDefault="00BE237F" w:rsidP="00BE237F">
      <w:pPr>
        <w:pStyle w:val="Retraitcorpsdetexte"/>
        <w:ind w:left="0"/>
        <w:rPr>
          <w:rFonts w:ascii="Times New Roman" w:eastAsia="Times New Roman" w:hAnsi="Times New Roman"/>
          <w:sz w:val="24"/>
          <w:szCs w:val="20"/>
          <w:shd w:val="clear" w:color="auto" w:fill="FFFFFF"/>
          <w:lang w:eastAsia="fr-FR"/>
        </w:rPr>
      </w:pPr>
    </w:p>
    <w:p w:rsidR="00BE237F" w:rsidRPr="00AE0B90" w:rsidRDefault="00BE237F" w:rsidP="00BE237F">
      <w:pPr>
        <w:pStyle w:val="Retraitcorpsdetexte"/>
        <w:jc w:val="right"/>
        <w:rPr>
          <w:rFonts w:ascii="Times New Roman" w:eastAsia="Times New Roman" w:hAnsi="Times New Roman"/>
          <w:sz w:val="24"/>
          <w:szCs w:val="20"/>
          <w:shd w:val="clear" w:color="auto" w:fill="FFFFFF"/>
          <w:lang w:eastAsia="fr-FR"/>
        </w:rPr>
      </w:pPr>
    </w:p>
    <w:p w:rsidR="00BE237F" w:rsidRPr="00C35A22" w:rsidRDefault="00BE237F" w:rsidP="00BE237F">
      <w:pPr>
        <w:spacing w:after="0" w:line="240" w:lineRule="auto"/>
        <w:jc w:val="right"/>
        <w:rPr>
          <w:rFonts w:ascii="Times New Roman" w:eastAsia="Times New Roman" w:hAnsi="Times New Roman"/>
          <w:b/>
          <w:sz w:val="24"/>
          <w:szCs w:val="20"/>
          <w:u w:val="single"/>
          <w:shd w:val="clear" w:color="auto" w:fill="FFFFFF"/>
          <w:lang w:eastAsia="fr-FR"/>
        </w:rPr>
      </w:pPr>
      <w:r w:rsidRPr="00AE0B90">
        <w:rPr>
          <w:rFonts w:ascii="Times New Roman" w:eastAsia="Times New Roman" w:hAnsi="Times New Roman"/>
          <w:sz w:val="24"/>
          <w:szCs w:val="20"/>
          <w:shd w:val="clear" w:color="auto" w:fill="FFFFFF"/>
          <w:lang w:eastAsia="fr-FR"/>
        </w:rPr>
        <w:t xml:space="preserve">   </w:t>
      </w:r>
      <w:r w:rsidRPr="00C35A22">
        <w:rPr>
          <w:rFonts w:ascii="Times New Roman" w:eastAsia="Times New Roman" w:hAnsi="Times New Roman"/>
          <w:b/>
          <w:sz w:val="24"/>
          <w:szCs w:val="20"/>
          <w:u w:val="single"/>
          <w:shd w:val="clear" w:color="auto" w:fill="FFFFFF"/>
          <w:lang w:eastAsia="fr-FR"/>
        </w:rPr>
        <w:t>Inspecteur Général Amadou KONATE</w:t>
      </w:r>
    </w:p>
    <w:p w:rsidR="00BE237F" w:rsidRPr="00045F9D" w:rsidRDefault="00BE237F" w:rsidP="00BE237F">
      <w:pPr>
        <w:spacing w:after="0" w:line="240" w:lineRule="auto"/>
        <w:ind w:left="4320" w:firstLine="720"/>
        <w:rPr>
          <w:rFonts w:ascii="Times New Roman" w:eastAsia="Times New Roman" w:hAnsi="Times New Roman"/>
          <w:i/>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        </w:t>
      </w:r>
      <w:r>
        <w:rPr>
          <w:rFonts w:ascii="Times New Roman" w:eastAsia="Times New Roman" w:hAnsi="Times New Roman"/>
          <w:sz w:val="24"/>
          <w:szCs w:val="20"/>
          <w:shd w:val="clear" w:color="auto" w:fill="FFFFFF"/>
          <w:lang w:eastAsia="fr-FR"/>
        </w:rPr>
        <w:t xml:space="preserve"> </w:t>
      </w:r>
      <w:r w:rsidRPr="00045F9D">
        <w:rPr>
          <w:rFonts w:ascii="Times New Roman" w:eastAsia="Times New Roman" w:hAnsi="Times New Roman"/>
          <w:i/>
          <w:sz w:val="24"/>
          <w:szCs w:val="20"/>
          <w:shd w:val="clear" w:color="auto" w:fill="FFFFFF"/>
          <w:lang w:eastAsia="fr-FR"/>
        </w:rPr>
        <w:t>Chevalier  de l’Ordre National</w:t>
      </w:r>
    </w:p>
    <w:p w:rsidR="00771018" w:rsidRDefault="001E3BFD">
      <w:bookmarkStart w:id="0" w:name="_GoBack"/>
      <w:bookmarkEnd w:id="0"/>
    </w:p>
    <w:sectPr w:rsidR="007710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BFD" w:rsidRDefault="001E3BFD" w:rsidP="00BE237F">
      <w:pPr>
        <w:spacing w:after="0" w:line="240" w:lineRule="auto"/>
      </w:pPr>
      <w:r>
        <w:separator/>
      </w:r>
    </w:p>
  </w:endnote>
  <w:endnote w:type="continuationSeparator" w:id="0">
    <w:p w:rsidR="001E3BFD" w:rsidRDefault="001E3BFD" w:rsidP="00BE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BFD" w:rsidRDefault="001E3BFD" w:rsidP="00BE237F">
      <w:pPr>
        <w:spacing w:after="0" w:line="240" w:lineRule="auto"/>
      </w:pPr>
      <w:r>
        <w:separator/>
      </w:r>
    </w:p>
  </w:footnote>
  <w:footnote w:type="continuationSeparator" w:id="0">
    <w:p w:rsidR="001E3BFD" w:rsidRDefault="001E3BFD" w:rsidP="00BE237F">
      <w:pPr>
        <w:spacing w:after="0" w:line="240" w:lineRule="auto"/>
      </w:pPr>
      <w:r>
        <w:continuationSeparator/>
      </w:r>
    </w:p>
  </w:footnote>
  <w:footnote w:id="1">
    <w:p w:rsidR="00BE237F" w:rsidRPr="00D03EE9" w:rsidRDefault="00BE237F" w:rsidP="00BE237F">
      <w:pPr>
        <w:pStyle w:val="Notedebasdepage"/>
        <w:rPr>
          <w:sz w:val="16"/>
          <w:szCs w:val="16"/>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436AA"/>
    <w:multiLevelType w:val="hybridMultilevel"/>
    <w:tmpl w:val="B54EF1C2"/>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50354A0"/>
    <w:multiLevelType w:val="hybridMultilevel"/>
    <w:tmpl w:val="766EC440"/>
    <w:lvl w:ilvl="0" w:tplc="CD9C78E6">
      <w:start w:val="2"/>
      <w:numFmt w:val="bullet"/>
      <w:lvlText w:val="-"/>
      <w:lvlJc w:val="left"/>
      <w:pPr>
        <w:ind w:left="720" w:hanging="360"/>
      </w:pPr>
      <w:rPr>
        <w:rFonts w:ascii="Times New Roman" w:eastAsia="Times New Roman" w:hAnsi="Times New Roman" w:cs="Times New Roman"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986496"/>
    <w:multiLevelType w:val="hybridMultilevel"/>
    <w:tmpl w:val="7090BE3E"/>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3853990"/>
    <w:multiLevelType w:val="hybridMultilevel"/>
    <w:tmpl w:val="02609D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20556F"/>
    <w:multiLevelType w:val="hybridMultilevel"/>
    <w:tmpl w:val="029C607C"/>
    <w:lvl w:ilvl="0" w:tplc="EC2E328E">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A30029B"/>
    <w:multiLevelType w:val="hybridMultilevel"/>
    <w:tmpl w:val="DF789C78"/>
    <w:lvl w:ilvl="0" w:tplc="3D1A7CD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245008"/>
    <w:multiLevelType w:val="hybridMultilevel"/>
    <w:tmpl w:val="46B04274"/>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A45F19"/>
    <w:multiLevelType w:val="hybridMultilevel"/>
    <w:tmpl w:val="81CAA8E4"/>
    <w:lvl w:ilvl="0" w:tplc="A5BC90D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6"/>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50"/>
    <w:rsid w:val="001E3BFD"/>
    <w:rsid w:val="00523780"/>
    <w:rsid w:val="00B20A50"/>
    <w:rsid w:val="00BE237F"/>
    <w:rsid w:val="00C05F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905D-7551-40C7-80C4-FD8A1AA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BE237F"/>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BE237F"/>
    <w:rPr>
      <w:rFonts w:ascii="Times New Roman" w:eastAsia="Times New Roman" w:hAnsi="Times New Roman" w:cs="Times New Roman"/>
      <w:sz w:val="20"/>
      <w:szCs w:val="20"/>
      <w:lang w:val="es-ES_tradnl" w:eastAsia="fr-FR"/>
    </w:rPr>
  </w:style>
  <w:style w:type="character" w:styleId="Appelnotedebasdep">
    <w:name w:val="footnote reference"/>
    <w:uiPriority w:val="99"/>
    <w:semiHidden/>
    <w:rsid w:val="00BE237F"/>
    <w:rPr>
      <w:rFonts w:cs="Times New Roman"/>
      <w:vertAlign w:val="superscript"/>
    </w:rPr>
  </w:style>
  <w:style w:type="paragraph" w:styleId="Paragraphedeliste">
    <w:name w:val="List Paragraph"/>
    <w:aliases w:val="Dot pt,No Spacing1,List Paragraph Char Char Char,Indicator Text,List Paragraph1,Numbered Para 1,List Paragraph12,Bullet Points,MAIN CONTENT,Bullet 1,Colorful List - Accent 11,References,ReferencesCxSpLast,Bullets,Liste 1"/>
    <w:basedOn w:val="Normal"/>
    <w:link w:val="ParagraphedelisteCar"/>
    <w:qFormat/>
    <w:rsid w:val="00BE237F"/>
    <w:pPr>
      <w:spacing w:after="200" w:line="276" w:lineRule="auto"/>
      <w:ind w:left="720"/>
      <w:contextualSpacing/>
    </w:pPr>
    <w:rPr>
      <w:rFonts w:ascii="Calibri" w:eastAsia="Calibri" w:hAnsi="Calibri" w:cs="Times New Roman"/>
    </w:rPr>
  </w:style>
  <w:style w:type="character" w:customStyle="1" w:styleId="ParagraphedelisteCar">
    <w:name w:val="Paragraphe de liste Car"/>
    <w:aliases w:val="Dot pt Car,No Spacing1 Car,List Paragraph Char Char Char Car,Indicator Text Car,List Paragraph1 Car,Numbered Para 1 Car,List Paragraph12 Car,Bullet Points Car,MAIN CONTENT Car,Bullet 1 Car,Colorful List - Accent 11 Car"/>
    <w:basedOn w:val="Policepardfaut"/>
    <w:link w:val="Paragraphedeliste"/>
    <w:rsid w:val="00BE237F"/>
    <w:rPr>
      <w:rFonts w:ascii="Calibri" w:eastAsia="Calibri" w:hAnsi="Calibri" w:cs="Times New Roman"/>
    </w:rPr>
  </w:style>
  <w:style w:type="paragraph" w:styleId="Sansinterligne">
    <w:name w:val="No Spacing"/>
    <w:link w:val="SansinterligneCar"/>
    <w:uiPriority w:val="1"/>
    <w:qFormat/>
    <w:rsid w:val="00BE237F"/>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BE237F"/>
    <w:rPr>
      <w:rFonts w:ascii="Calibri" w:eastAsia="Calibri" w:hAnsi="Calibri" w:cs="Times New Roman"/>
    </w:rPr>
  </w:style>
  <w:style w:type="paragraph" w:styleId="Retraitcorpsdetexte">
    <w:name w:val="Body Text Indent"/>
    <w:basedOn w:val="Normal"/>
    <w:link w:val="RetraitcorpsdetexteCar"/>
    <w:uiPriority w:val="99"/>
    <w:semiHidden/>
    <w:unhideWhenUsed/>
    <w:rsid w:val="00BE237F"/>
    <w:pPr>
      <w:spacing w:after="120"/>
      <w:ind w:left="283"/>
    </w:pPr>
    <w:rPr>
      <w:rFonts w:ascii="Calibri" w:eastAsia="Calibri" w:hAnsi="Calibri" w:cs="Times New Roman"/>
    </w:rPr>
  </w:style>
  <w:style w:type="character" w:customStyle="1" w:styleId="RetraitcorpsdetexteCar">
    <w:name w:val="Retrait corps de texte Car"/>
    <w:basedOn w:val="Policepardfaut"/>
    <w:link w:val="Retraitcorpsdetexte"/>
    <w:uiPriority w:val="99"/>
    <w:semiHidden/>
    <w:rsid w:val="00BE23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5284</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SISSOKO</dc:creator>
  <cp:keywords/>
  <dc:description/>
  <cp:lastModifiedBy>Ibrahima SISSOKO</cp:lastModifiedBy>
  <cp:revision>2</cp:revision>
  <dcterms:created xsi:type="dcterms:W3CDTF">2024-09-12T09:26:00Z</dcterms:created>
  <dcterms:modified xsi:type="dcterms:W3CDTF">2024-09-12T09:27:00Z</dcterms:modified>
</cp:coreProperties>
</file>