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0" w:type="dxa"/>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9950"/>
      </w:tblGrid>
      <w:tr w:rsidR="00C00635" w:rsidTr="00CC02AA">
        <w:trPr>
          <w:trHeight w:val="205"/>
          <w:jc w:val="center"/>
        </w:trPr>
        <w:tc>
          <w:tcPr>
            <w:tcW w:w="9950" w:type="dxa"/>
            <w:tcBorders>
              <w:top w:val="nil"/>
              <w:bottom w:val="nil"/>
            </w:tcBorders>
          </w:tcPr>
          <w:p w:rsidR="00C00635" w:rsidRPr="001B7A47" w:rsidRDefault="00C00635" w:rsidP="00CC02AA">
            <w:pPr>
              <w:shd w:val="clear" w:color="auto" w:fill="FFFFFF"/>
              <w:spacing w:after="0"/>
              <w:rPr>
                <w:rFonts w:ascii="Arial" w:hAnsi="Arial"/>
                <w:szCs w:val="20"/>
              </w:rPr>
            </w:pPr>
          </w:p>
        </w:tc>
      </w:tr>
      <w:tr w:rsidR="00C00635" w:rsidTr="00CC02AA">
        <w:trPr>
          <w:trHeight w:val="1074"/>
          <w:jc w:val="center"/>
        </w:trPr>
        <w:tc>
          <w:tcPr>
            <w:tcW w:w="9950" w:type="dxa"/>
            <w:tcBorders>
              <w:top w:val="nil"/>
              <w:bottom w:val="nil"/>
            </w:tcBorders>
          </w:tcPr>
          <w:p w:rsidR="00C00635" w:rsidRPr="001D5AF0" w:rsidRDefault="00C00635" w:rsidP="00CC02AA">
            <w:pPr>
              <w:pStyle w:val="Titre5"/>
              <w:spacing w:before="0" w:after="0"/>
              <w:jc w:val="left"/>
              <w:rPr>
                <w:rFonts w:ascii="Arial" w:hAnsi="Arial"/>
                <w:sz w:val="20"/>
                <w:szCs w:val="22"/>
              </w:rPr>
            </w:pPr>
            <w:r>
              <w:rPr>
                <w:rFonts w:ascii="Verdana" w:hAnsi="Verdana"/>
                <w:szCs w:val="28"/>
                <w:lang w:val="fr-CA"/>
              </w:rPr>
              <w:br w:type="page"/>
            </w:r>
            <w:r w:rsidRPr="009D6D44">
              <w:rPr>
                <w:rFonts w:ascii="Arial Black" w:hAnsi="Arial Black"/>
                <w:szCs w:val="28"/>
              </w:rPr>
              <w:br w:type="page"/>
            </w:r>
            <w:r w:rsidRPr="009D6D44">
              <w:rPr>
                <w:rFonts w:ascii="Arial Black" w:hAnsi="Arial Black"/>
                <w:szCs w:val="28"/>
              </w:rPr>
              <w:br w:type="page"/>
            </w:r>
            <w:r>
              <w:rPr>
                <w:bCs/>
              </w:rPr>
              <w:br w:type="page"/>
            </w:r>
            <w:r w:rsidRPr="009D6D44">
              <w:rPr>
                <w:rFonts w:ascii="Arial Black" w:hAnsi="Arial Black"/>
                <w:lang w:val="fr-CA"/>
              </w:rPr>
              <w:br w:type="page"/>
            </w:r>
            <w:r w:rsidRPr="009D6D44">
              <w:br w:type="page"/>
            </w:r>
            <w:r w:rsidRPr="009D6D44">
              <w:rPr>
                <w:rFonts w:ascii="Arial Black" w:hAnsi="Arial Black"/>
              </w:rPr>
              <w:br w:type="page"/>
            </w:r>
            <w:r w:rsidRPr="009D6D44">
              <w:rPr>
                <w:rFonts w:ascii="Arial Black" w:hAnsi="Arial Black"/>
              </w:rPr>
              <w:br w:type="page"/>
            </w:r>
            <w:r>
              <w:br w:type="page"/>
            </w:r>
            <w:r>
              <w:br w:type="page"/>
            </w:r>
            <w:r>
              <w:br w:type="page"/>
            </w:r>
            <w:r w:rsidRPr="009D6D44">
              <w:rPr>
                <w:bCs/>
              </w:rPr>
              <w:br w:type="page"/>
            </w:r>
            <w:r>
              <w:br w:type="page"/>
            </w:r>
            <w:r>
              <w:br w:type="page"/>
            </w:r>
            <w:r>
              <w:rPr>
                <w:lang w:val="fr-CA"/>
              </w:rPr>
              <w:br w:type="page"/>
            </w:r>
            <w:r w:rsidRPr="009D6D44">
              <w:rPr>
                <w:rFonts w:ascii="Arial Black" w:hAnsi="Arial Black"/>
                <w:bCs/>
                <w:szCs w:val="28"/>
              </w:rPr>
              <w:br w:type="page"/>
            </w:r>
            <w:r w:rsidRPr="009D6D44">
              <w:rPr>
                <w:rFonts w:ascii="Arial Black" w:hAnsi="Arial Black"/>
              </w:rPr>
              <w:br w:type="page"/>
            </w:r>
            <w:r>
              <w:br w:type="page"/>
            </w:r>
            <w:r>
              <w:br w:type="page"/>
            </w:r>
            <w:r>
              <w:rPr>
                <w:rFonts w:ascii="Script MT Bold" w:hAnsi="Script MT Bold"/>
              </w:rPr>
              <w:br w:type="page"/>
            </w:r>
            <w:r w:rsidRPr="001D5AF0">
              <w:rPr>
                <w:rFonts w:ascii="Arial" w:hAnsi="Arial"/>
                <w:sz w:val="20"/>
                <w:szCs w:val="22"/>
              </w:rPr>
              <w:t>MINISTERE DE L’ENSEIGNEMENT</w:t>
            </w:r>
            <w:r w:rsidRPr="001D5AF0">
              <w:rPr>
                <w:rFonts w:ascii="Arial" w:hAnsi="Arial"/>
                <w:sz w:val="20"/>
              </w:rPr>
              <w:t>SUPERIEUR</w:t>
            </w:r>
            <w:r>
              <w:rPr>
                <w:rFonts w:ascii="Arial" w:hAnsi="Arial"/>
                <w:sz w:val="20"/>
              </w:rPr>
              <w:t xml:space="preserve">                                          </w:t>
            </w:r>
            <w:r w:rsidRPr="001D5AF0">
              <w:rPr>
                <w:rFonts w:ascii="Arial" w:hAnsi="Arial"/>
                <w:sz w:val="20"/>
                <w:szCs w:val="22"/>
              </w:rPr>
              <w:t>REPUBLIQUE DU MALI</w:t>
            </w:r>
          </w:p>
          <w:p w:rsidR="00C00635" w:rsidRPr="001D5AF0" w:rsidRDefault="00C00635" w:rsidP="00CC02AA">
            <w:pPr>
              <w:spacing w:after="0" w:line="240" w:lineRule="auto"/>
              <w:rPr>
                <w:rFonts w:ascii="Arial" w:hAnsi="Arial"/>
                <w:b/>
                <w:sz w:val="20"/>
              </w:rPr>
            </w:pPr>
            <w:r w:rsidRPr="001D5AF0">
              <w:rPr>
                <w:rFonts w:ascii="Arial" w:hAnsi="Arial"/>
                <w:b/>
                <w:sz w:val="20"/>
              </w:rPr>
              <w:t xml:space="preserve">ET DE LA RECHERCHE SCIENTIFIQUE                              </w:t>
            </w:r>
            <w:r>
              <w:rPr>
                <w:rFonts w:ascii="Arial" w:hAnsi="Arial"/>
                <w:b/>
                <w:sz w:val="20"/>
              </w:rPr>
              <w:t xml:space="preserve">              </w:t>
            </w:r>
            <w:r w:rsidRPr="001D5AF0">
              <w:rPr>
                <w:rFonts w:ascii="Arial" w:hAnsi="Arial"/>
                <w:b/>
                <w:sz w:val="20"/>
              </w:rPr>
              <w:t xml:space="preserve">   UN PEUPLE - UN BUT - UNE FOI</w:t>
            </w:r>
          </w:p>
          <w:p w:rsidR="00C00635" w:rsidRPr="00A818E3" w:rsidRDefault="00C00635" w:rsidP="00CC02AA">
            <w:pPr>
              <w:spacing w:after="0"/>
              <w:rPr>
                <w:rFonts w:ascii="Arial" w:hAnsi="Arial"/>
                <w:sz w:val="20"/>
              </w:rPr>
            </w:pPr>
            <w:r>
              <w:rPr>
                <w:sz w:val="20"/>
              </w:rPr>
              <w:t xml:space="preserve">                         </w:t>
            </w:r>
            <w:r w:rsidRPr="00461DAE">
              <w:rPr>
                <w:sz w:val="20"/>
              </w:rPr>
              <w:t>***************</w:t>
            </w:r>
          </w:p>
          <w:p w:rsidR="00C00635" w:rsidRPr="00804B82" w:rsidRDefault="00C00635" w:rsidP="00CC02AA">
            <w:pPr>
              <w:pStyle w:val="Sansinterligne"/>
              <w:rPr>
                <w:rFonts w:ascii="Arial" w:eastAsiaTheme="minorEastAsia" w:hAnsi="Arial" w:cstheme="minorBidi"/>
                <w:b/>
                <w:sz w:val="20"/>
                <w:lang w:eastAsia="fr-FR"/>
              </w:rPr>
            </w:pPr>
            <w:r w:rsidRPr="00804B82">
              <w:rPr>
                <w:rFonts w:ascii="Arial" w:eastAsiaTheme="minorEastAsia" w:hAnsi="Arial" w:cstheme="minorBidi"/>
                <w:b/>
                <w:sz w:val="20"/>
                <w:lang w:eastAsia="fr-FR"/>
              </w:rPr>
              <w:t xml:space="preserve">UNIVERSITE DES SCIENCES SOCIALES </w:t>
            </w:r>
          </w:p>
          <w:p w:rsidR="00C00635" w:rsidRPr="00804B82" w:rsidRDefault="00C00635" w:rsidP="00CC02AA">
            <w:pPr>
              <w:pStyle w:val="Sansinterligne"/>
              <w:rPr>
                <w:rFonts w:ascii="Arial" w:eastAsiaTheme="minorEastAsia" w:hAnsi="Arial" w:cstheme="minorBidi"/>
                <w:b/>
                <w:sz w:val="20"/>
                <w:lang w:eastAsia="fr-FR"/>
              </w:rPr>
            </w:pPr>
            <w:r w:rsidRPr="00804B82">
              <w:rPr>
                <w:rFonts w:ascii="Arial" w:eastAsiaTheme="minorEastAsia" w:hAnsi="Arial" w:cstheme="minorBidi"/>
                <w:b/>
                <w:sz w:val="20"/>
                <w:lang w:eastAsia="fr-FR"/>
              </w:rPr>
              <w:t xml:space="preserve">ET DE GESTION DE BAMAKO                                             </w:t>
            </w:r>
          </w:p>
          <w:p w:rsidR="00C00635" w:rsidRPr="003B3203" w:rsidRDefault="00C00635" w:rsidP="00CC02AA">
            <w:pPr>
              <w:pBdr>
                <w:bottom w:val="thickThinSmallGap" w:sz="24" w:space="1" w:color="auto"/>
              </w:pBdr>
              <w:shd w:val="clear" w:color="auto" w:fill="FFFFFF"/>
              <w:rPr>
                <w:rFonts w:ascii="Cambria" w:hAnsi="Cambria"/>
                <w:b/>
                <w:iCs/>
                <w:sz w:val="20"/>
              </w:rPr>
            </w:pPr>
            <w:r w:rsidRPr="003B3203">
              <w:rPr>
                <w:noProof/>
                <w:lang w:val="en-US" w:eastAsia="en-US"/>
              </w:rPr>
              <mc:AlternateContent>
                <mc:Choice Requires="wps">
                  <w:drawing>
                    <wp:anchor distT="0" distB="0" distL="114300" distR="114300" simplePos="0" relativeHeight="251659264" behindDoc="0" locked="0" layoutInCell="1" allowOverlap="1" wp14:anchorId="15E54FA7" wp14:editId="192D7337">
                      <wp:simplePos x="0" y="0"/>
                      <wp:positionH relativeFrom="margin">
                        <wp:posOffset>2603421</wp:posOffset>
                      </wp:positionH>
                      <wp:positionV relativeFrom="paragraph">
                        <wp:posOffset>21869</wp:posOffset>
                      </wp:positionV>
                      <wp:extent cx="2266315" cy="49657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66315" cy="496570"/>
                              </a:xfrm>
                              <a:prstGeom prst="rect">
                                <a:avLst/>
                              </a:prstGeom>
                            </wps:spPr>
                            <wps:txbx>
                              <w:txbxContent>
                                <w:p w:rsidR="00C00635" w:rsidRPr="00755ED2" w:rsidRDefault="00C00635" w:rsidP="00C00635">
                                  <w:pPr>
                                    <w:pStyle w:val="NormalWeb"/>
                                    <w:spacing w:before="0" w:beforeAutospacing="0" w:after="0" w:afterAutospacing="0"/>
                                    <w:jc w:val="center"/>
                                    <w:rPr>
                                      <w:sz w:val="20"/>
                                    </w:rPr>
                                  </w:pPr>
                                  <w:r w:rsidRPr="00755ED2">
                                    <w:rPr>
                                      <w:rFonts w:ascii="Arial Black" w:hAnsi="Arial Black"/>
                                      <w:color w:val="0070C0"/>
                                      <w:sz w:val="52"/>
                                      <w:szCs w:val="72"/>
                                    </w:rPr>
                                    <w:t>RECTORAT</w:t>
                                  </w:r>
                                </w:p>
                              </w:txbxContent>
                            </wps:txbx>
                            <wps:bodyPr wrap="square" numCol="1" fromWordArt="1">
                              <a:prstTxWarp prst="textWave1">
                                <a:avLst>
                                  <a:gd name="adj1" fmla="val 4421"/>
                                  <a:gd name="adj2" fmla="val -519"/>
                                </a:avLst>
                              </a:prstTxWarp>
                              <a:noAutofit/>
                            </wps:bodyPr>
                          </wps:wsp>
                        </a:graphicData>
                      </a:graphic>
                      <wp14:sizeRelH relativeFrom="page">
                        <wp14:pctWidth>0</wp14:pctWidth>
                      </wp14:sizeRelH>
                      <wp14:sizeRelV relativeFrom="page">
                        <wp14:pctHeight>0</wp14:pctHeight>
                      </wp14:sizeRelV>
                    </wp:anchor>
                  </w:drawing>
                </mc:Choice>
                <mc:Fallback>
                  <w:pict>
                    <v:shapetype w14:anchorId="15E54FA7" id="_x0000_t202" coordsize="21600,21600" o:spt="202" path="m,l,21600r21600,l21600,xe">
                      <v:stroke joinstyle="miter"/>
                      <v:path gradientshapeok="t" o:connecttype="rect"/>
                    </v:shapetype>
                    <v:shape id="Zone de texte 4" o:spid="_x0000_s1026" type="#_x0000_t202" style="position:absolute;margin-left:205pt;margin-top:1.7pt;width:178.45pt;height:3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" filled="f" stroked="f">
                      <o:lock v:ext="edit" shapetype="t"/>
                      <v:textbox>
                        <w:txbxContent>
                          <w:p w:rsidR="00C00635" w:rsidRPr="00755ED2" w:rsidRDefault="00C00635" w:rsidP="00C00635">
                            <w:pPr>
                              <w:pStyle w:val="NormalWeb"/>
                              <w:spacing w:before="0" w:beforeAutospacing="0" w:after="0" w:afterAutospacing="0"/>
                              <w:jc w:val="center"/>
                              <w:rPr>
                                <w:sz w:val="20"/>
                              </w:rPr>
                            </w:pPr>
                            <w:r w:rsidRPr="00755ED2">
                              <w:rPr>
                                <w:rFonts w:ascii="Arial Black" w:hAnsi="Arial Black"/>
                                <w:color w:val="0070C0"/>
                                <w:sz w:val="52"/>
                                <w:szCs w:val="72"/>
                              </w:rPr>
                              <w:t>RECTORAT</w:t>
                            </w:r>
                          </w:p>
                        </w:txbxContent>
                      </v:textbox>
                      <w10:wrap anchorx="margin"/>
                    </v:shape>
                  </w:pict>
                </mc:Fallback>
              </mc:AlternateContent>
            </w:r>
            <w:r w:rsidRPr="003B3203">
              <w:rPr>
                <w:rFonts w:ascii="Cambria" w:hAnsi="Cambria"/>
                <w:b/>
                <w:iCs/>
                <w:noProof/>
                <w:sz w:val="20"/>
                <w:lang w:val="en-US" w:eastAsia="en-US"/>
              </w:rPr>
              <w:drawing>
                <wp:anchor distT="0" distB="0" distL="114300" distR="114300" simplePos="0" relativeHeight="251660288" behindDoc="0" locked="0" layoutInCell="1" allowOverlap="1" wp14:anchorId="7FA9CBA2" wp14:editId="2FF61112">
                  <wp:simplePos x="0" y="0"/>
                  <wp:positionH relativeFrom="margin">
                    <wp:posOffset>205105</wp:posOffset>
                  </wp:positionH>
                  <wp:positionV relativeFrom="paragraph">
                    <wp:posOffset>11430</wp:posOffset>
                  </wp:positionV>
                  <wp:extent cx="1080770" cy="523875"/>
                  <wp:effectExtent l="0" t="0" r="5080" b="9525"/>
                  <wp:wrapNone/>
                  <wp:docPr id="10" name="Image 10" descr="D:\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Logotyp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77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203">
              <w:rPr>
                <w:rFonts w:ascii="Cambria" w:hAnsi="Cambria"/>
                <w:b/>
                <w:iCs/>
                <w:sz w:val="20"/>
              </w:rPr>
              <w:t xml:space="preserve">    </w:t>
            </w:r>
          </w:p>
          <w:p w:rsidR="00C00635" w:rsidRPr="00A818E3" w:rsidRDefault="00C00635" w:rsidP="00CC02AA">
            <w:pPr>
              <w:pBdr>
                <w:bottom w:val="thickThinSmallGap" w:sz="24" w:space="1" w:color="auto"/>
              </w:pBdr>
              <w:shd w:val="clear" w:color="auto" w:fill="FFFFFF"/>
              <w:rPr>
                <w:rFonts w:ascii="Cambria" w:hAnsi="Cambria"/>
                <w:b/>
                <w:iCs/>
                <w:sz w:val="20"/>
              </w:rPr>
            </w:pPr>
            <w:r w:rsidRPr="003B3203">
              <w:rPr>
                <w:rFonts w:ascii="Cambria" w:hAnsi="Cambria"/>
                <w:b/>
                <w:iCs/>
                <w:sz w:val="20"/>
              </w:rPr>
              <w:t xml:space="preserve">                                                                                                                                           </w:t>
            </w:r>
          </w:p>
          <w:p w:rsidR="00C00635" w:rsidRPr="00804B82" w:rsidRDefault="00C00635" w:rsidP="00CC02AA">
            <w:pPr>
              <w:pBdr>
                <w:bottom w:val="thickThinSmallGap" w:sz="24" w:space="1" w:color="auto"/>
              </w:pBdr>
              <w:shd w:val="clear" w:color="auto" w:fill="FFFFFF"/>
              <w:rPr>
                <w:rFonts w:ascii="Cambria" w:hAnsi="Cambria"/>
                <w:b/>
                <w:bCs/>
                <w:sz w:val="20"/>
              </w:rPr>
            </w:pPr>
            <w:r>
              <w:rPr>
                <w:rFonts w:ascii="Cambria" w:hAnsi="Cambria"/>
                <w:b/>
                <w:bCs/>
                <w:sz w:val="20"/>
              </w:rPr>
              <w:t>SERVICE DES FINANCES.</w:t>
            </w:r>
          </w:p>
        </w:tc>
      </w:tr>
    </w:tbl>
    <w:p w:rsidR="00C00635" w:rsidRPr="0084422F" w:rsidRDefault="00C00635" w:rsidP="00C00635">
      <w:pPr>
        <w:jc w:val="center"/>
        <w:rPr>
          <w:rFonts w:ascii="Times New Roman" w:hAnsi="Times New Roman" w:cs="Times New Roman"/>
          <w:b/>
          <w:sz w:val="28"/>
          <w:szCs w:val="32"/>
        </w:rPr>
      </w:pPr>
      <w:r w:rsidRPr="007551F7">
        <w:rPr>
          <w:rFonts w:ascii="Times New Roman" w:hAnsi="Times New Roman" w:cs="Times New Roman"/>
          <w:b/>
          <w:sz w:val="32"/>
          <w:szCs w:val="32"/>
        </w:rPr>
        <w:t>Avis d’Appel d’Offres Ouvert (AAOO)</w:t>
      </w:r>
      <w:r>
        <w:rPr>
          <w:rFonts w:ascii="Times New Roman" w:hAnsi="Times New Roman" w:cs="Times New Roman"/>
          <w:b/>
          <w:sz w:val="32"/>
          <w:szCs w:val="32"/>
        </w:rPr>
        <w:t xml:space="preserve"> </w:t>
      </w:r>
      <w:r w:rsidRPr="0084422F">
        <w:rPr>
          <w:rFonts w:ascii="Times New Roman" w:hAnsi="Times New Roman" w:cs="Times New Roman"/>
          <w:b/>
          <w:sz w:val="32"/>
          <w:szCs w:val="32"/>
        </w:rPr>
        <w:t>N°0709 T/2024</w:t>
      </w:r>
    </w:p>
    <w:p w:rsidR="00C00635" w:rsidRDefault="00C00635" w:rsidP="00C00635">
      <w:pPr>
        <w:jc w:val="center"/>
        <w:rPr>
          <w:rFonts w:ascii="Times New Roman" w:hAnsi="Times New Roman" w:cs="Times New Roman"/>
          <w:b/>
          <w:sz w:val="24"/>
          <w:szCs w:val="24"/>
        </w:rPr>
      </w:pPr>
      <w:r w:rsidRPr="002D1A55">
        <w:rPr>
          <w:rFonts w:ascii="Times New Roman" w:hAnsi="Times New Roman" w:cs="Times New Roman"/>
          <w:b/>
          <w:sz w:val="24"/>
          <w:szCs w:val="24"/>
        </w:rPr>
        <w:t xml:space="preserve">RELATIF AUX </w:t>
      </w:r>
      <w:r>
        <w:rPr>
          <w:rFonts w:ascii="Times New Roman" w:hAnsi="Times New Roman" w:cs="Times New Roman"/>
          <w:b/>
          <w:iCs/>
          <w:sz w:val="28"/>
          <w:szCs w:val="32"/>
        </w:rPr>
        <w:t>TRAVAUX</w:t>
      </w:r>
      <w:r w:rsidRPr="008776D5">
        <w:rPr>
          <w:rFonts w:ascii="Times New Roman" w:hAnsi="Times New Roman" w:cs="Times New Roman"/>
          <w:b/>
          <w:sz w:val="24"/>
          <w:szCs w:val="24"/>
        </w:rPr>
        <w:t xml:space="preserve"> DE REHABILITATION DES BATIMENTS DE LA FACULTE D’HISTOIRE ET GEOGRAPHIE AU PROFIT DE L’UNIVERSITE DES SCIENCES SOCIALES ET DE GESTION DE BAMAKO (USSGB) SUR LE DOMAINE UNIVERSITAIRE DE BADALABOUGOU,</w:t>
      </w:r>
      <w:r>
        <w:rPr>
          <w:rFonts w:ascii="Times New Roman" w:hAnsi="Times New Roman" w:cs="Times New Roman"/>
          <w:b/>
          <w:sz w:val="24"/>
          <w:szCs w:val="24"/>
        </w:rPr>
        <w:t xml:space="preserve"> </w:t>
      </w:r>
      <w:r w:rsidRPr="008776D5">
        <w:rPr>
          <w:rFonts w:ascii="Times New Roman" w:hAnsi="Times New Roman" w:cs="Times New Roman"/>
          <w:b/>
          <w:sz w:val="24"/>
          <w:szCs w:val="24"/>
        </w:rPr>
        <w:t xml:space="preserve">EN LOT UNIQUE </w:t>
      </w:r>
    </w:p>
    <w:p w:rsidR="00C00635" w:rsidRPr="00182D36" w:rsidRDefault="00C00635" w:rsidP="00C00635">
      <w:pPr>
        <w:pStyle w:val="Paragraphedeliste"/>
        <w:numPr>
          <w:ilvl w:val="6"/>
          <w:numId w:val="1"/>
        </w:numPr>
        <w:suppressAutoHyphens w:val="0"/>
        <w:overflowPunct/>
        <w:autoSpaceDE/>
        <w:autoSpaceDN/>
        <w:adjustRightInd/>
        <w:spacing w:before="240" w:after="200"/>
        <w:ind w:hanging="600"/>
        <w:contextualSpacing/>
        <w:textAlignment w:val="auto"/>
        <w:rPr>
          <w:iCs/>
        </w:rPr>
      </w:pPr>
      <w:r w:rsidRPr="00850EA4">
        <w:t xml:space="preserve">Cet Avis d’appel d’offres fait suite à l’Avis Général de Passation des Marchés (Éventuellement) paru dans </w:t>
      </w:r>
      <w:r>
        <w:t xml:space="preserve">le </w:t>
      </w:r>
      <w:r w:rsidRPr="006102C6">
        <w:rPr>
          <w:rFonts w:ascii="Garamond" w:hAnsi="Garamond"/>
        </w:rPr>
        <w:t xml:space="preserve">quotidien « L’ESSOR » </w:t>
      </w:r>
      <w:r w:rsidRPr="002D42A7">
        <w:rPr>
          <w:rFonts w:ascii="Garamond" w:hAnsi="Garamond"/>
          <w:b/>
        </w:rPr>
        <w:t>n°20050 du 03 janvier 2024</w:t>
      </w:r>
    </w:p>
    <w:p w:rsidR="00C00635" w:rsidRPr="00182D36" w:rsidRDefault="00C00635" w:rsidP="00C00635">
      <w:pPr>
        <w:pStyle w:val="Paragraphedeliste"/>
        <w:suppressAutoHyphens w:val="0"/>
        <w:overflowPunct/>
        <w:autoSpaceDE/>
        <w:autoSpaceDN/>
        <w:adjustRightInd/>
        <w:spacing w:before="240" w:after="200"/>
        <w:ind w:left="600"/>
        <w:contextualSpacing/>
        <w:textAlignment w:val="auto"/>
        <w:rPr>
          <w:iCs/>
        </w:rPr>
      </w:pPr>
    </w:p>
    <w:p w:rsidR="00C00635" w:rsidRPr="00804B82" w:rsidRDefault="00C00635" w:rsidP="00C00635">
      <w:pPr>
        <w:jc w:val="both"/>
        <w:rPr>
          <w:rFonts w:ascii="Times New Roman" w:eastAsia="Times New Roman" w:hAnsi="Times New Roman" w:cs="Arial"/>
          <w:b/>
          <w:iCs/>
          <w:sz w:val="24"/>
          <w:szCs w:val="24"/>
        </w:rPr>
      </w:pPr>
      <w:r>
        <w:rPr>
          <w:rFonts w:ascii="Times New Roman" w:eastAsia="Times New Roman" w:hAnsi="Times New Roman" w:cs="Arial"/>
          <w:sz w:val="24"/>
          <w:szCs w:val="24"/>
        </w:rPr>
        <w:t>L</w:t>
      </w:r>
      <w:r w:rsidRPr="00904138">
        <w:rPr>
          <w:rFonts w:ascii="Times New Roman" w:eastAsia="Times New Roman" w:hAnsi="Times New Roman" w:cs="Arial"/>
          <w:sz w:val="24"/>
          <w:szCs w:val="24"/>
        </w:rPr>
        <w:t>’Université des Sciences Sociales et de Gestion de Bamako, a sollicité et obtenu des fonds du Budget National, afin de financer le programme de renforcement de ses infrastructures, et a l’intention d’utiliser une partie de ces fonds pour effectuer des paiements au titre du Marché des</w:t>
      </w:r>
      <w:r>
        <w:t xml:space="preserve"> </w:t>
      </w:r>
      <w:r w:rsidRPr="008776D5">
        <w:rPr>
          <w:rFonts w:ascii="Times New Roman" w:eastAsia="Times New Roman" w:hAnsi="Times New Roman" w:cs="Arial"/>
          <w:b/>
          <w:iCs/>
          <w:sz w:val="24"/>
          <w:szCs w:val="24"/>
        </w:rPr>
        <w:t xml:space="preserve"> travaux de réhabilitation des bâtiments de la faculté d’histoire et géographie au profit de l’université des sciences sociales et de gestion de Bamako (USSGB) sur le domaine universitaire de </w:t>
      </w:r>
      <w:proofErr w:type="spellStart"/>
      <w:r w:rsidRPr="008776D5">
        <w:rPr>
          <w:rFonts w:ascii="Times New Roman" w:eastAsia="Times New Roman" w:hAnsi="Times New Roman" w:cs="Arial"/>
          <w:b/>
          <w:iCs/>
          <w:sz w:val="24"/>
          <w:szCs w:val="24"/>
        </w:rPr>
        <w:t>Badalabougou</w:t>
      </w:r>
      <w:proofErr w:type="spellEnd"/>
      <w:r w:rsidRPr="008776D5">
        <w:rPr>
          <w:rFonts w:ascii="Times New Roman" w:eastAsia="Times New Roman" w:hAnsi="Times New Roman" w:cs="Arial"/>
          <w:b/>
          <w:iCs/>
          <w:sz w:val="24"/>
          <w:szCs w:val="24"/>
        </w:rPr>
        <w:t xml:space="preserve">, </w:t>
      </w:r>
      <w:r w:rsidRPr="001733BE">
        <w:rPr>
          <w:rFonts w:ascii="Times New Roman" w:eastAsia="Times New Roman" w:hAnsi="Times New Roman" w:cs="Arial"/>
          <w:b/>
          <w:iCs/>
          <w:sz w:val="24"/>
          <w:szCs w:val="24"/>
        </w:rPr>
        <w:t>en lot unique</w:t>
      </w:r>
    </w:p>
    <w:p w:rsidR="00C00635" w:rsidRPr="008776D5" w:rsidRDefault="00C00635" w:rsidP="00C00635">
      <w:pPr>
        <w:jc w:val="both"/>
        <w:rPr>
          <w:rFonts w:ascii="Times New Roman" w:eastAsia="Times New Roman" w:hAnsi="Times New Roman" w:cs="Arial"/>
          <w:b/>
          <w:iCs/>
          <w:sz w:val="24"/>
          <w:szCs w:val="24"/>
        </w:rPr>
      </w:pPr>
      <w:r>
        <w:rPr>
          <w:rFonts w:ascii="Times New Roman" w:eastAsia="Times New Roman" w:hAnsi="Times New Roman" w:cs="Arial"/>
          <w:sz w:val="24"/>
          <w:szCs w:val="24"/>
        </w:rPr>
        <w:t>L</w:t>
      </w:r>
      <w:r w:rsidRPr="00904138">
        <w:rPr>
          <w:rFonts w:ascii="Times New Roman" w:eastAsia="Times New Roman" w:hAnsi="Times New Roman" w:cs="Arial"/>
          <w:sz w:val="24"/>
          <w:szCs w:val="24"/>
        </w:rPr>
        <w:t>’Université des Sciences Sociales et de Gestion de Bamako</w:t>
      </w:r>
      <w:r>
        <w:t xml:space="preserve">, </w:t>
      </w:r>
      <w:r w:rsidRPr="00850EA4">
        <w:t>sollicite des offres fermées de la part de candidats éligibles et répondant aux qualifications requises pour</w:t>
      </w:r>
      <w:r>
        <w:t xml:space="preserve"> réaliser </w:t>
      </w:r>
      <w:bookmarkStart w:id="0" w:name="_Hlk94640329"/>
      <w:r>
        <w:t xml:space="preserve">les </w:t>
      </w:r>
      <w:r w:rsidRPr="008776D5">
        <w:rPr>
          <w:rFonts w:ascii="Times New Roman" w:eastAsia="Times New Roman" w:hAnsi="Times New Roman" w:cs="Arial"/>
          <w:b/>
          <w:iCs/>
          <w:sz w:val="24"/>
          <w:szCs w:val="24"/>
        </w:rPr>
        <w:t xml:space="preserve">travaux de réhabilitation des bâtiments de la faculté d’histoire et géographie au profit de l’université des sciences sociales et de gestion de Bamako (USSGB) sur le domaine universitaire de </w:t>
      </w:r>
      <w:proofErr w:type="spellStart"/>
      <w:r w:rsidRPr="008776D5">
        <w:rPr>
          <w:rFonts w:ascii="Times New Roman" w:eastAsia="Times New Roman" w:hAnsi="Times New Roman" w:cs="Arial"/>
          <w:b/>
          <w:iCs/>
          <w:sz w:val="24"/>
          <w:szCs w:val="24"/>
        </w:rPr>
        <w:t>Badalabougou</w:t>
      </w:r>
      <w:proofErr w:type="spellEnd"/>
      <w:r w:rsidRPr="008776D5">
        <w:rPr>
          <w:rFonts w:ascii="Times New Roman" w:eastAsia="Times New Roman" w:hAnsi="Times New Roman" w:cs="Arial"/>
          <w:b/>
          <w:iCs/>
          <w:sz w:val="24"/>
          <w:szCs w:val="24"/>
        </w:rPr>
        <w:t xml:space="preserve">, </w:t>
      </w:r>
      <w:r w:rsidRPr="001733BE">
        <w:rPr>
          <w:rFonts w:ascii="Times New Roman" w:eastAsia="Times New Roman" w:hAnsi="Times New Roman" w:cs="Arial"/>
          <w:b/>
          <w:iCs/>
          <w:sz w:val="24"/>
          <w:szCs w:val="24"/>
        </w:rPr>
        <w:t>en lot unique</w:t>
      </w:r>
    </w:p>
    <w:bookmarkEnd w:id="0"/>
    <w:p w:rsidR="00C00635" w:rsidRPr="00AE4717" w:rsidRDefault="00C00635" w:rsidP="00C00635">
      <w:pPr>
        <w:spacing w:before="120" w:after="120"/>
        <w:contextualSpacing/>
        <w:rPr>
          <w:rFonts w:cs="Times New Roman"/>
          <w:b/>
        </w:rPr>
      </w:pPr>
      <w:r w:rsidRPr="00450DEE">
        <w:t xml:space="preserve">Les travaux </w:t>
      </w:r>
      <w:r w:rsidRPr="00AE4717">
        <w:rPr>
          <w:rFonts w:cs="Times New Roman"/>
        </w:rPr>
        <w:t xml:space="preserve">prévus dans le cadre de ce marché sont à réaliser dans un délai maximum de </w:t>
      </w:r>
      <w:r w:rsidRPr="00AE4717">
        <w:rPr>
          <w:rFonts w:cs="Times New Roman"/>
          <w:b/>
        </w:rPr>
        <w:t>Six (06) mois.</w:t>
      </w:r>
    </w:p>
    <w:p w:rsidR="00C00635" w:rsidRPr="002D1A55" w:rsidRDefault="00C00635" w:rsidP="00C00635">
      <w:pPr>
        <w:pStyle w:val="Paragraphedeliste"/>
        <w:suppressAutoHyphens w:val="0"/>
        <w:overflowPunct/>
        <w:autoSpaceDE/>
        <w:autoSpaceDN/>
        <w:adjustRightInd/>
        <w:spacing w:before="120" w:after="120"/>
        <w:ind w:left="600"/>
        <w:contextualSpacing/>
        <w:textAlignment w:val="auto"/>
        <w:rPr>
          <w:highlight w:val="yellow"/>
        </w:rPr>
      </w:pPr>
    </w:p>
    <w:p w:rsidR="00C00635" w:rsidRPr="00450DEE" w:rsidRDefault="00C00635" w:rsidP="00C00635">
      <w:pPr>
        <w:pStyle w:val="Paragraphedeliste"/>
        <w:numPr>
          <w:ilvl w:val="6"/>
          <w:numId w:val="1"/>
        </w:numPr>
        <w:suppressAutoHyphens w:val="0"/>
        <w:overflowPunct/>
        <w:autoSpaceDE/>
        <w:autoSpaceDN/>
        <w:adjustRightInd/>
        <w:spacing w:after="200"/>
        <w:ind w:hanging="600"/>
        <w:contextualSpacing/>
        <w:textAlignment w:val="auto"/>
      </w:pPr>
      <w:r w:rsidRPr="00450DEE">
        <w:t>La passation du Marché sera conduite par Appel d’offres ouvert tel que défini dans le Code des Marchés publics à l’article 50</w:t>
      </w:r>
      <w:r w:rsidRPr="00450DEE">
        <w:rPr>
          <w:b/>
          <w:i/>
          <w:iCs/>
        </w:rPr>
        <w:t>,</w:t>
      </w:r>
      <w:r w:rsidRPr="00450DEE">
        <w:t xml:space="preserve"> et ouvert à tous les candidats éligibles. </w:t>
      </w:r>
    </w:p>
    <w:p w:rsidR="00C00635" w:rsidRPr="00904138" w:rsidRDefault="00C00635" w:rsidP="00C00635">
      <w:pPr>
        <w:spacing w:after="120"/>
        <w:contextualSpacing/>
        <w:rPr>
          <w:iCs/>
        </w:rPr>
      </w:pPr>
      <w:r>
        <w:rPr>
          <w:rFonts w:ascii="Times New Roman" w:eastAsia="Times New Roman" w:hAnsi="Times New Roman" w:cs="Arial"/>
          <w:sz w:val="24"/>
          <w:szCs w:val="24"/>
        </w:rPr>
        <w:t xml:space="preserve">3. </w:t>
      </w:r>
      <w:r w:rsidRPr="00450DEE">
        <w:t xml:space="preserve">Les candidats intéressés peuvent obtenir des informations </w:t>
      </w:r>
      <w:r w:rsidRPr="00904138">
        <w:rPr>
          <w:b/>
        </w:rPr>
        <w:t xml:space="preserve">au </w:t>
      </w:r>
      <w:r w:rsidRPr="00904138">
        <w:rPr>
          <w:rFonts w:ascii="Verdana" w:hAnsi="Verdana" w:cs="Verdana"/>
          <w:b/>
          <w:sz w:val="20"/>
          <w:lang w:val="x-none" w:eastAsia="x-none"/>
        </w:rPr>
        <w:t xml:space="preserve">Service des Finances de </w:t>
      </w:r>
      <w:proofErr w:type="spellStart"/>
      <w:r w:rsidRPr="00904138">
        <w:rPr>
          <w:rFonts w:ascii="Verdana" w:hAnsi="Verdana" w:cs="Verdana"/>
          <w:b/>
          <w:sz w:val="20"/>
          <w:lang w:val="x-none" w:eastAsia="x-none"/>
        </w:rPr>
        <w:t>l’Université</w:t>
      </w:r>
      <w:proofErr w:type="spellEnd"/>
      <w:r w:rsidRPr="00904138">
        <w:rPr>
          <w:rFonts w:ascii="Verdana" w:hAnsi="Verdana" w:cs="Verdana"/>
          <w:b/>
          <w:sz w:val="20"/>
          <w:lang w:val="x-none" w:eastAsia="x-none"/>
        </w:rPr>
        <w:t xml:space="preserve"> des </w:t>
      </w:r>
      <w:r w:rsidRPr="00904138">
        <w:rPr>
          <w:rFonts w:ascii="Verdana" w:hAnsi="Verdana"/>
          <w:b/>
          <w:sz w:val="20"/>
          <w:lang w:val="x-none" w:eastAsia="x-none"/>
        </w:rPr>
        <w:t xml:space="preserve">Sciences </w:t>
      </w:r>
      <w:proofErr w:type="spellStart"/>
      <w:r w:rsidRPr="00904138">
        <w:rPr>
          <w:rFonts w:ascii="Verdana" w:hAnsi="Verdana"/>
          <w:b/>
          <w:sz w:val="20"/>
          <w:lang w:val="x-none" w:eastAsia="x-none"/>
        </w:rPr>
        <w:t>Sociales</w:t>
      </w:r>
      <w:proofErr w:type="spellEnd"/>
      <w:r w:rsidRPr="00904138">
        <w:rPr>
          <w:rFonts w:ascii="Verdana" w:hAnsi="Verdana"/>
          <w:b/>
          <w:sz w:val="20"/>
          <w:lang w:val="x-none" w:eastAsia="x-none"/>
        </w:rPr>
        <w:t xml:space="preserve"> et de </w:t>
      </w:r>
      <w:proofErr w:type="spellStart"/>
      <w:r w:rsidRPr="00904138">
        <w:rPr>
          <w:rFonts w:ascii="Verdana" w:hAnsi="Verdana"/>
          <w:b/>
          <w:sz w:val="20"/>
          <w:lang w:val="x-none" w:eastAsia="x-none"/>
        </w:rPr>
        <w:t>Gestio</w:t>
      </w:r>
      <w:r w:rsidRPr="00904138">
        <w:rPr>
          <w:rFonts w:ascii="Verdana" w:hAnsi="Verdana" w:cs="Verdana"/>
          <w:b/>
          <w:sz w:val="20"/>
          <w:lang w:val="x-none" w:eastAsia="x-none"/>
        </w:rPr>
        <w:t>n</w:t>
      </w:r>
      <w:proofErr w:type="spellEnd"/>
      <w:r w:rsidRPr="00904138">
        <w:rPr>
          <w:rFonts w:ascii="Verdana" w:hAnsi="Verdana" w:cs="Verdana"/>
          <w:b/>
          <w:sz w:val="20"/>
          <w:lang w:val="x-none" w:eastAsia="x-none"/>
        </w:rPr>
        <w:t xml:space="preserve"> de Bamako, à la Division </w:t>
      </w:r>
      <w:proofErr w:type="spellStart"/>
      <w:r w:rsidRPr="00904138">
        <w:rPr>
          <w:rFonts w:ascii="Verdana" w:hAnsi="Verdana" w:cs="Verdana"/>
          <w:b/>
          <w:sz w:val="20"/>
          <w:lang w:val="x-none" w:eastAsia="x-none"/>
        </w:rPr>
        <w:t>Matériels</w:t>
      </w:r>
      <w:proofErr w:type="spellEnd"/>
      <w:r w:rsidRPr="00904138">
        <w:rPr>
          <w:rFonts w:ascii="Verdana" w:hAnsi="Verdana" w:cs="Verdana"/>
          <w:b/>
          <w:sz w:val="20"/>
          <w:lang w:val="x-none" w:eastAsia="x-none"/>
        </w:rPr>
        <w:t xml:space="preserve"> et </w:t>
      </w:r>
      <w:proofErr w:type="spellStart"/>
      <w:r w:rsidRPr="00904138">
        <w:rPr>
          <w:rFonts w:ascii="Verdana" w:hAnsi="Verdana" w:cs="Verdana"/>
          <w:b/>
          <w:sz w:val="20"/>
          <w:lang w:val="x-none" w:eastAsia="x-none"/>
        </w:rPr>
        <w:t>Approvisionnement</w:t>
      </w:r>
      <w:proofErr w:type="spellEnd"/>
      <w:r w:rsidRPr="00904138">
        <w:rPr>
          <w:rFonts w:ascii="Verdana" w:hAnsi="Verdana" w:cs="Verdana"/>
          <w:b/>
          <w:sz w:val="20"/>
          <w:lang w:val="x-none" w:eastAsia="x-none"/>
        </w:rPr>
        <w:t xml:space="preserve">, BP : 2575, Quartier du </w:t>
      </w:r>
      <w:proofErr w:type="spellStart"/>
      <w:r w:rsidRPr="00904138">
        <w:rPr>
          <w:rFonts w:ascii="Verdana" w:hAnsi="Verdana" w:cs="Verdana"/>
          <w:b/>
          <w:sz w:val="20"/>
          <w:lang w:val="x-none" w:eastAsia="x-none"/>
        </w:rPr>
        <w:t>Fleuve</w:t>
      </w:r>
      <w:proofErr w:type="spellEnd"/>
      <w:r w:rsidRPr="00904138">
        <w:rPr>
          <w:rFonts w:ascii="Verdana" w:hAnsi="Verdana" w:cs="Verdana"/>
          <w:b/>
          <w:sz w:val="20"/>
          <w:lang w:val="x-none" w:eastAsia="x-none"/>
        </w:rPr>
        <w:t xml:space="preserve"> Rue 310 Porte 238 </w:t>
      </w:r>
      <w:proofErr w:type="spellStart"/>
      <w:r w:rsidRPr="00904138">
        <w:rPr>
          <w:rFonts w:ascii="Verdana" w:hAnsi="Verdana" w:cs="Verdana"/>
          <w:b/>
          <w:sz w:val="20"/>
          <w:lang w:val="x-none" w:eastAsia="x-none"/>
        </w:rPr>
        <w:t>près</w:t>
      </w:r>
      <w:proofErr w:type="spellEnd"/>
      <w:r w:rsidRPr="00904138">
        <w:rPr>
          <w:rFonts w:ascii="Verdana" w:hAnsi="Verdana" w:cs="Verdana"/>
          <w:b/>
          <w:sz w:val="20"/>
          <w:lang w:val="x-none" w:eastAsia="x-none"/>
        </w:rPr>
        <w:t xml:space="preserve"> du </w:t>
      </w:r>
      <w:r w:rsidRPr="00904138">
        <w:rPr>
          <w:rFonts w:ascii="Verdana" w:hAnsi="Verdana" w:cs="Verdana"/>
          <w:b/>
          <w:sz w:val="20"/>
          <w:lang w:val="x-none" w:eastAsia="x-none"/>
        </w:rPr>
        <w:lastRenderedPageBreak/>
        <w:t xml:space="preserve">Marché </w:t>
      </w:r>
      <w:proofErr w:type="spellStart"/>
      <w:r w:rsidRPr="00904138">
        <w:rPr>
          <w:rFonts w:ascii="Verdana" w:hAnsi="Verdana" w:cs="Verdana"/>
          <w:b/>
          <w:sz w:val="20"/>
          <w:lang w:val="x-none" w:eastAsia="x-none"/>
        </w:rPr>
        <w:t>Dibida</w:t>
      </w:r>
      <w:proofErr w:type="spellEnd"/>
      <w:r w:rsidRPr="00904138">
        <w:rPr>
          <w:rFonts w:ascii="Verdana" w:hAnsi="Verdana" w:cs="Verdana"/>
          <w:b/>
          <w:sz w:val="20"/>
          <w:lang w:val="x-none" w:eastAsia="x-none"/>
        </w:rPr>
        <w:t xml:space="preserve">, </w:t>
      </w:r>
      <w:proofErr w:type="spellStart"/>
      <w:r w:rsidRPr="00904138">
        <w:rPr>
          <w:rFonts w:ascii="Verdana" w:hAnsi="Verdana" w:cs="Verdana"/>
          <w:b/>
          <w:sz w:val="20"/>
          <w:lang w:val="x-none" w:eastAsia="x-none"/>
        </w:rPr>
        <w:t>téléphone</w:t>
      </w:r>
      <w:proofErr w:type="spellEnd"/>
      <w:r w:rsidRPr="00904138">
        <w:rPr>
          <w:rFonts w:ascii="Verdana" w:hAnsi="Verdana" w:cs="Verdana"/>
          <w:b/>
          <w:sz w:val="20"/>
          <w:lang w:val="x-none" w:eastAsia="x-none"/>
        </w:rPr>
        <w:t> :20 22 08 65/Bamako</w:t>
      </w:r>
      <w:r w:rsidRPr="00904138">
        <w:rPr>
          <w:b/>
        </w:rPr>
        <w:t xml:space="preserve">, </w:t>
      </w:r>
      <w:r w:rsidRPr="00CD1FB5">
        <w:t xml:space="preserve">du </w:t>
      </w:r>
      <w:r w:rsidRPr="00904138">
        <w:rPr>
          <w:b/>
        </w:rPr>
        <w:t>Lundi au Jeudi</w:t>
      </w:r>
      <w:r w:rsidRPr="00CD1FB5">
        <w:t xml:space="preserve"> entre </w:t>
      </w:r>
      <w:r w:rsidRPr="00904138">
        <w:rPr>
          <w:b/>
        </w:rPr>
        <w:t>7H30mn et 16H</w:t>
      </w:r>
      <w:r w:rsidRPr="00CD1FB5">
        <w:t xml:space="preserve"> et le </w:t>
      </w:r>
      <w:r w:rsidRPr="00904138">
        <w:rPr>
          <w:b/>
        </w:rPr>
        <w:t>Vendredi</w:t>
      </w:r>
      <w:r w:rsidRPr="00CD1FB5">
        <w:t xml:space="preserve"> de </w:t>
      </w:r>
      <w:r w:rsidRPr="00904138">
        <w:rPr>
          <w:b/>
        </w:rPr>
        <w:t>7H30mn à 17H30 min</w:t>
      </w:r>
      <w:r w:rsidRPr="00CD1FB5">
        <w:t xml:space="preserve">. </w:t>
      </w:r>
    </w:p>
    <w:p w:rsidR="00C00635" w:rsidRPr="00A24CD9" w:rsidRDefault="00C00635" w:rsidP="00C00635">
      <w:pPr>
        <w:pStyle w:val="Paragraphedeliste"/>
        <w:rPr>
          <w:iCs/>
        </w:rPr>
      </w:pPr>
    </w:p>
    <w:p w:rsidR="00C00635" w:rsidRPr="00850EA4" w:rsidRDefault="00C00635" w:rsidP="00C00635">
      <w:pPr>
        <w:pStyle w:val="Paragraphedeliste"/>
        <w:numPr>
          <w:ilvl w:val="6"/>
          <w:numId w:val="1"/>
        </w:numPr>
        <w:suppressAutoHyphens w:val="0"/>
        <w:overflowPunct/>
        <w:autoSpaceDE/>
        <w:autoSpaceDN/>
        <w:adjustRightInd/>
        <w:spacing w:before="120" w:after="120"/>
        <w:ind w:hanging="600"/>
        <w:contextualSpacing/>
        <w:textAlignment w:val="auto"/>
        <w:rPr>
          <w:iCs/>
        </w:rPr>
      </w:pPr>
      <w:r w:rsidRPr="00850EA4">
        <w:t xml:space="preserve">Les exigences en matière de qualifications sont : </w:t>
      </w:r>
      <w:r>
        <w:t xml:space="preserve">(voir </w:t>
      </w:r>
      <w:r w:rsidRPr="006C7B0E">
        <w:rPr>
          <w:rFonts w:cs="Times New Roman"/>
        </w:rPr>
        <w:t>le</w:t>
      </w:r>
      <w:r>
        <w:rPr>
          <w:rFonts w:cs="Times New Roman"/>
        </w:rPr>
        <w:t xml:space="preserve"> DPAO dans le</w:t>
      </w:r>
      <w:r w:rsidRPr="006C7B0E">
        <w:rPr>
          <w:rFonts w:cs="Times New Roman"/>
        </w:rPr>
        <w:t xml:space="preserve"> document d’Appel d’offres pour les informations détaillées</w:t>
      </w:r>
      <w:r>
        <w:t xml:space="preserve">) </w:t>
      </w:r>
      <w:r w:rsidRPr="00850EA4">
        <w:t xml:space="preserve">: </w:t>
      </w:r>
    </w:p>
    <w:p w:rsidR="00C00635" w:rsidRPr="0062172D" w:rsidRDefault="00C00635" w:rsidP="00C00635">
      <w:pPr>
        <w:spacing w:before="120" w:after="0"/>
        <w:ind w:left="540"/>
        <w:jc w:val="both"/>
        <w:rPr>
          <w:rFonts w:ascii="Times New Roman" w:hAnsi="Times New Roman" w:cs="Times New Roman"/>
          <w:sz w:val="24"/>
          <w:szCs w:val="24"/>
        </w:rPr>
      </w:pPr>
      <w:r w:rsidRPr="005D1EA5">
        <w:rPr>
          <w:rFonts w:ascii="Times New Roman" w:hAnsi="Times New Roman" w:cs="Times New Roman"/>
          <w:b/>
          <w:sz w:val="24"/>
          <w:szCs w:val="24"/>
          <w:u w:val="single"/>
        </w:rPr>
        <w:t>Capacité financière</w:t>
      </w:r>
      <w:r w:rsidRPr="0062172D">
        <w:rPr>
          <w:rFonts w:ascii="Times New Roman" w:hAnsi="Times New Roman" w:cs="Times New Roman"/>
          <w:sz w:val="24"/>
          <w:szCs w:val="24"/>
        </w:rPr>
        <w:t xml:space="preserve"> :</w:t>
      </w:r>
    </w:p>
    <w:p w:rsidR="00C00635" w:rsidRPr="006B6E0A" w:rsidRDefault="00C00635" w:rsidP="00C00635">
      <w:pPr>
        <w:spacing w:after="0"/>
        <w:ind w:firstLine="540"/>
        <w:jc w:val="both"/>
        <w:rPr>
          <w:rFonts w:ascii="Times New Roman" w:hAnsi="Times New Roman" w:cs="Times New Roman"/>
          <w:sz w:val="24"/>
          <w:szCs w:val="24"/>
        </w:rPr>
      </w:pPr>
      <w:r w:rsidRPr="006B6E0A">
        <w:rPr>
          <w:rFonts w:ascii="Times New Roman" w:hAnsi="Times New Roman" w:cs="Times New Roman"/>
          <w:sz w:val="24"/>
          <w:szCs w:val="24"/>
        </w:rPr>
        <w:t xml:space="preserve">Le Soumissionnaire doit fournir la preuve écrite qu’il satisfait aux exigences ci-après : </w:t>
      </w:r>
    </w:p>
    <w:p w:rsidR="00C00635" w:rsidRPr="0049790B" w:rsidRDefault="00C00635" w:rsidP="00C00635">
      <w:pPr>
        <w:pStyle w:val="Paragraphedeliste"/>
        <w:numPr>
          <w:ilvl w:val="0"/>
          <w:numId w:val="2"/>
        </w:numPr>
        <w:suppressAutoHyphens w:val="0"/>
        <w:overflowPunct/>
        <w:autoSpaceDE/>
        <w:autoSpaceDN/>
        <w:adjustRightInd/>
        <w:spacing w:after="200"/>
        <w:contextualSpacing/>
        <w:textAlignment w:val="auto"/>
        <w:rPr>
          <w:rFonts w:eastAsiaTheme="minorEastAsia" w:cs="Times New Roman"/>
        </w:rPr>
      </w:pPr>
      <w:r w:rsidRPr="00667DDB">
        <w:t xml:space="preserve">Accès à des </w:t>
      </w:r>
      <w:r w:rsidRPr="0049790B">
        <w:rPr>
          <w:rFonts w:eastAsiaTheme="minorEastAsia" w:cs="Times New Roman"/>
        </w:rPr>
        <w:t xml:space="preserve">financements tels que des avoirs liquides, lignes de crédit, autres que l’avance de démarrage éventuelle, pour un montant </w:t>
      </w:r>
      <w:r>
        <w:rPr>
          <w:rFonts w:eastAsiaTheme="minorEastAsia" w:cs="Times New Roman"/>
        </w:rPr>
        <w:t xml:space="preserve">équivalent à </w:t>
      </w:r>
      <w:r w:rsidRPr="00AC6C80">
        <w:rPr>
          <w:rFonts w:eastAsiaTheme="minorEastAsia" w:cs="Times New Roman"/>
          <w:b/>
        </w:rPr>
        <w:t>165 600 000</w:t>
      </w:r>
      <w:r w:rsidRPr="0049790B">
        <w:rPr>
          <w:rFonts w:eastAsiaTheme="minorEastAsia" w:cs="Times New Roman"/>
          <w:b/>
        </w:rPr>
        <w:t xml:space="preserve"> F CFA</w:t>
      </w:r>
      <w:r w:rsidRPr="0049790B">
        <w:rPr>
          <w:rFonts w:eastAsiaTheme="minorEastAsia" w:cs="Times New Roman"/>
        </w:rPr>
        <w:t xml:space="preserve"> et pour les anciennes </w:t>
      </w:r>
      <w:r>
        <w:rPr>
          <w:rFonts w:eastAsiaTheme="minorEastAsia" w:cs="Times New Roman"/>
        </w:rPr>
        <w:t xml:space="preserve">sociétés </w:t>
      </w:r>
    </w:p>
    <w:p w:rsidR="00C00635" w:rsidRPr="0049790B" w:rsidRDefault="00C00635" w:rsidP="00C00635">
      <w:pPr>
        <w:pStyle w:val="Paragraphedeliste"/>
        <w:numPr>
          <w:ilvl w:val="0"/>
          <w:numId w:val="2"/>
        </w:numPr>
        <w:tabs>
          <w:tab w:val="left" w:pos="1350"/>
        </w:tabs>
        <w:overflowPunct/>
        <w:autoSpaceDE/>
        <w:autoSpaceDN/>
        <w:adjustRightInd/>
        <w:ind w:right="-72"/>
        <w:contextualSpacing/>
        <w:textAlignment w:val="auto"/>
        <w:rPr>
          <w:rFonts w:eastAsiaTheme="minorEastAsia" w:cs="Times New Roman"/>
        </w:rPr>
      </w:pPr>
      <w:proofErr w:type="gramStart"/>
      <w:r w:rsidRPr="0049790B">
        <w:rPr>
          <w:rFonts w:eastAsiaTheme="minorEastAsia" w:cs="Times New Roman"/>
        </w:rPr>
        <w:t>les</w:t>
      </w:r>
      <w:proofErr w:type="gramEnd"/>
      <w:r w:rsidRPr="0049790B">
        <w:rPr>
          <w:rFonts w:eastAsiaTheme="minorEastAsia" w:cs="Times New Roman"/>
        </w:rPr>
        <w:t xml:space="preserve"> bilans, extraits de bilans ou comptes d’exploitation des années 2021-2022-2023, certifiés par un expert-comptable ou un comptable agréé inscrit au tableau de l’Ordre et sur ces bilans doit figurer la mention suivante apposée par le service compétent des Impôts « Bilan conforme aux déclarations souscrites au service des impôts » ;</w:t>
      </w:r>
    </w:p>
    <w:p w:rsidR="00C00635" w:rsidRPr="0049790B" w:rsidRDefault="00C00635" w:rsidP="00C00635">
      <w:pPr>
        <w:pStyle w:val="Paragraphedeliste"/>
        <w:numPr>
          <w:ilvl w:val="0"/>
          <w:numId w:val="2"/>
        </w:numPr>
        <w:suppressAutoHyphens w:val="0"/>
        <w:overflowPunct/>
        <w:autoSpaceDE/>
        <w:autoSpaceDN/>
        <w:adjustRightInd/>
        <w:spacing w:after="200"/>
        <w:contextualSpacing/>
        <w:textAlignment w:val="auto"/>
        <w:rPr>
          <w:rFonts w:eastAsiaTheme="minorEastAsia" w:cs="Times New Roman"/>
        </w:rPr>
      </w:pPr>
      <w:r w:rsidRPr="0049790B">
        <w:rPr>
          <w:rFonts w:eastAsiaTheme="minorEastAsia" w:cs="Times New Roman"/>
        </w:rPr>
        <w:t>Le Chiffre d’Affaires moyen des trois (03) dernières années 2021-2022-2023</w:t>
      </w:r>
      <w:r w:rsidRPr="00AB2DF7">
        <w:rPr>
          <w:color w:val="00B0F0"/>
        </w:rPr>
        <w:t xml:space="preserve"> </w:t>
      </w:r>
      <w:r w:rsidRPr="00B8379E">
        <w:rPr>
          <w:rFonts w:cs="Times New Roman"/>
          <w:b/>
        </w:rPr>
        <w:t xml:space="preserve">d’un montant au moins </w:t>
      </w:r>
      <w:r w:rsidRPr="0049790B">
        <w:rPr>
          <w:rFonts w:eastAsiaTheme="minorEastAsia" w:cs="Times New Roman"/>
        </w:rPr>
        <w:t>égal à la soumission.</w:t>
      </w:r>
    </w:p>
    <w:p w:rsidR="00C00635" w:rsidRPr="0049790B" w:rsidRDefault="00C00635" w:rsidP="00C00635">
      <w:pPr>
        <w:pStyle w:val="Paragraphedeliste"/>
        <w:numPr>
          <w:ilvl w:val="0"/>
          <w:numId w:val="2"/>
        </w:numPr>
        <w:suppressAutoHyphens w:val="0"/>
        <w:overflowPunct/>
        <w:autoSpaceDE/>
        <w:autoSpaceDN/>
        <w:adjustRightInd/>
        <w:spacing w:after="200"/>
        <w:contextualSpacing/>
        <w:textAlignment w:val="auto"/>
        <w:rPr>
          <w:rFonts w:eastAsiaTheme="minorEastAsia" w:cs="Times New Roman"/>
        </w:rPr>
      </w:pPr>
      <w:r w:rsidRPr="0049790B">
        <w:rPr>
          <w:rFonts w:eastAsiaTheme="minorEastAsia" w:cs="Times New Roman"/>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moins égal à sa soumission</w:t>
      </w:r>
      <w:r>
        <w:rPr>
          <w:rFonts w:eastAsiaTheme="minorEastAsia" w:cs="Times New Roman"/>
        </w:rPr>
        <w:t>.</w:t>
      </w:r>
      <w:r w:rsidRPr="0049790B">
        <w:rPr>
          <w:rFonts w:eastAsiaTheme="minorEastAsia" w:cs="Times New Roman"/>
        </w:rPr>
        <w:t xml:space="preserve"> </w:t>
      </w:r>
    </w:p>
    <w:p w:rsidR="00C00635" w:rsidRPr="0049790B" w:rsidRDefault="00C00635" w:rsidP="00C00635">
      <w:pPr>
        <w:pStyle w:val="Paragraphedeliste"/>
        <w:numPr>
          <w:ilvl w:val="0"/>
          <w:numId w:val="2"/>
        </w:numPr>
        <w:suppressAutoHyphens w:val="0"/>
        <w:overflowPunct/>
        <w:autoSpaceDE/>
        <w:autoSpaceDN/>
        <w:adjustRightInd/>
        <w:spacing w:after="200"/>
        <w:contextualSpacing/>
        <w:textAlignment w:val="auto"/>
        <w:rPr>
          <w:rFonts w:eastAsiaTheme="minorEastAsia" w:cs="Times New Roman"/>
        </w:rPr>
      </w:pPr>
      <w:r>
        <w:rPr>
          <w:rFonts w:eastAsiaTheme="minorEastAsia" w:cs="Times New Roman"/>
        </w:rPr>
        <w:t>P</w:t>
      </w:r>
      <w:r w:rsidRPr="0049790B">
        <w:rPr>
          <w:rFonts w:eastAsiaTheme="minorEastAsia" w:cs="Times New Roman"/>
        </w:rPr>
        <w:t xml:space="preserve">ar contre, les sociétés ou entreprises nouvelles qui pour une raison justifiée ne sont pas en mesure de fournir le bilan des trois (03) dernières années, doivent fournir en plus du bilan de l’année disponible une ligne de crédit à hauteur de </w:t>
      </w:r>
      <w:r>
        <w:rPr>
          <w:rFonts w:eastAsiaTheme="minorEastAsia" w:cs="Times New Roman"/>
          <w:b/>
        </w:rPr>
        <w:t>165 600 000</w:t>
      </w:r>
      <w:r w:rsidRPr="0049790B">
        <w:rPr>
          <w:rFonts w:eastAsiaTheme="minorEastAsia" w:cs="Times New Roman"/>
          <w:b/>
        </w:rPr>
        <w:t xml:space="preserve"> FCFA</w:t>
      </w:r>
      <w:r w:rsidRPr="0049790B">
        <w:rPr>
          <w:rFonts w:eastAsiaTheme="minorEastAsia" w:cs="Times New Roman"/>
        </w:rPr>
        <w:t xml:space="preserve"> par bilan non fourni ».</w:t>
      </w:r>
    </w:p>
    <w:p w:rsidR="00C00635" w:rsidRDefault="00C00635" w:rsidP="00C00635">
      <w:pPr>
        <w:pStyle w:val="Paragraphedeliste"/>
        <w:numPr>
          <w:ilvl w:val="0"/>
          <w:numId w:val="2"/>
        </w:numPr>
        <w:suppressAutoHyphens w:val="0"/>
        <w:overflowPunct/>
        <w:autoSpaceDE/>
        <w:autoSpaceDN/>
        <w:adjustRightInd/>
        <w:spacing w:after="200"/>
        <w:contextualSpacing/>
        <w:textAlignment w:val="auto"/>
        <w:rPr>
          <w:color w:val="FF0000"/>
        </w:rPr>
      </w:pPr>
      <w:r w:rsidRPr="0049790B">
        <w:rPr>
          <w:rFonts w:eastAsiaTheme="minorEastAsia" w:cs="Times New Roman"/>
        </w:rPr>
        <w:t xml:space="preserve"> « Toute fois pour l’appréciation des expériences, la candidature</w:t>
      </w:r>
      <w:r w:rsidRPr="004719AD">
        <w:rPr>
          <w:rFonts w:cs="Times New Roman"/>
        </w:rPr>
        <w:t xml:space="preserve"> de ces entreprises doit être examinée au regard des capacités professionnelles et techniques, notamment par le biais des expériences et références obtenues par dir</w:t>
      </w:r>
      <w:r>
        <w:rPr>
          <w:rFonts w:cs="Times New Roman"/>
        </w:rPr>
        <w:t>igeants ou leurs collaborateurs</w:t>
      </w:r>
      <w:r w:rsidRPr="00AD6CAB">
        <w:t xml:space="preserve"> »</w:t>
      </w:r>
      <w:r>
        <w:t>.</w:t>
      </w:r>
    </w:p>
    <w:p w:rsidR="00C00635" w:rsidRPr="005D1EA5" w:rsidRDefault="00C00635" w:rsidP="00C00635">
      <w:pPr>
        <w:spacing w:before="120" w:after="0"/>
        <w:ind w:left="540"/>
        <w:jc w:val="both"/>
        <w:rPr>
          <w:rFonts w:ascii="Times New Roman" w:hAnsi="Times New Roman" w:cs="Times New Roman"/>
          <w:b/>
          <w:sz w:val="24"/>
          <w:szCs w:val="24"/>
          <w:u w:val="single"/>
        </w:rPr>
      </w:pPr>
      <w:r w:rsidRPr="005D1EA5">
        <w:rPr>
          <w:rFonts w:ascii="Times New Roman" w:hAnsi="Times New Roman" w:cs="Times New Roman"/>
          <w:b/>
          <w:sz w:val="24"/>
          <w:szCs w:val="24"/>
          <w:u w:val="single"/>
        </w:rPr>
        <w:t>Capacité technique et expérience</w:t>
      </w:r>
      <w:r w:rsidRPr="0062172D">
        <w:rPr>
          <w:rFonts w:ascii="Times New Roman" w:hAnsi="Times New Roman" w:cs="Times New Roman"/>
          <w:b/>
          <w:sz w:val="24"/>
          <w:szCs w:val="24"/>
        </w:rPr>
        <w:t> :</w:t>
      </w:r>
    </w:p>
    <w:p w:rsidR="00C00635" w:rsidRPr="00A22C08" w:rsidRDefault="00C00635" w:rsidP="00C00635">
      <w:pPr>
        <w:pStyle w:val="Paragraphedeliste"/>
        <w:numPr>
          <w:ilvl w:val="0"/>
          <w:numId w:val="2"/>
        </w:numPr>
        <w:suppressAutoHyphens w:val="0"/>
        <w:overflowPunct/>
        <w:autoSpaceDE/>
        <w:autoSpaceDN/>
        <w:adjustRightInd/>
        <w:spacing w:after="200"/>
        <w:contextualSpacing/>
        <w:textAlignment w:val="auto"/>
      </w:pPr>
      <w:r w:rsidRPr="00850EA4">
        <w:t xml:space="preserve">Expériences similaires attestées par au moins </w:t>
      </w:r>
      <w:r>
        <w:t>deux (02)</w:t>
      </w:r>
      <w:r w:rsidRPr="00850EA4">
        <w:t xml:space="preserve"> attestation</w:t>
      </w:r>
      <w:r>
        <w:t>s</w:t>
      </w:r>
      <w:r w:rsidRPr="00850EA4">
        <w:t xml:space="preserve"> de bonne exécution et</w:t>
      </w:r>
      <w:r>
        <w:t>/</w:t>
      </w:r>
      <w:r w:rsidRPr="00850EA4">
        <w:t>ou les procès-verbaux de réception provisoire ou définitive et les copies des pages de garde et des pages de signatures des marchés correspondants</w:t>
      </w:r>
      <w:r>
        <w:t>.</w:t>
      </w:r>
      <w:r w:rsidRPr="00850EA4">
        <w:t xml:space="preserve"> </w:t>
      </w:r>
      <w:r w:rsidRPr="00A22C08">
        <w:t xml:space="preserve">La valeur de chaque marché similaire atteint au moins le montant de l’offre </w:t>
      </w:r>
      <w:r>
        <w:t>pendant l</w:t>
      </w:r>
      <w:r w:rsidRPr="00850EA4">
        <w:t xml:space="preserve">es cinq (05) dernières années </w:t>
      </w:r>
      <w:r w:rsidRPr="0049790B">
        <w:rPr>
          <w:rFonts w:eastAsiaTheme="minorEastAsia" w:cs="Times New Roman"/>
          <w:b/>
        </w:rPr>
        <w:t>2021 à 2023 ;</w:t>
      </w:r>
      <w:r w:rsidRPr="00A22C08">
        <w:t xml:space="preserve"> </w:t>
      </w:r>
    </w:p>
    <w:p w:rsidR="00C00635" w:rsidRPr="004816FB" w:rsidRDefault="00C00635" w:rsidP="00C00635">
      <w:pPr>
        <w:jc w:val="both"/>
        <w:rPr>
          <w:rFonts w:ascii="Cambria" w:hAnsi="Cambria"/>
          <w:b/>
          <w:iCs/>
          <w:sz w:val="20"/>
        </w:rPr>
      </w:pPr>
      <w:r w:rsidRPr="0076771D">
        <w:t xml:space="preserve">Le dossier d’Appel d’offres complet sera retiré à titre onéreux contre paiement d’une somme non remboursable de </w:t>
      </w:r>
      <w:r w:rsidRPr="0076771D">
        <w:rPr>
          <w:b/>
        </w:rPr>
        <w:t>Cent Mille (100 000) F</w:t>
      </w:r>
      <w:r>
        <w:rPr>
          <w:b/>
        </w:rPr>
        <w:t>CFA au</w:t>
      </w:r>
      <w:r w:rsidRPr="0076771D">
        <w:rPr>
          <w:b/>
        </w:rPr>
        <w:t xml:space="preserve"> </w:t>
      </w:r>
      <w:r w:rsidRPr="003B3203">
        <w:rPr>
          <w:rFonts w:ascii="Verdana" w:hAnsi="Verdana" w:cs="Verdana"/>
          <w:b/>
          <w:sz w:val="20"/>
          <w:lang w:val="x-none" w:eastAsia="x-none"/>
        </w:rPr>
        <w:t xml:space="preserve">Service des Finances de </w:t>
      </w:r>
      <w:proofErr w:type="spellStart"/>
      <w:r w:rsidRPr="003B3203">
        <w:rPr>
          <w:rFonts w:ascii="Verdana" w:hAnsi="Verdana" w:cs="Verdana"/>
          <w:b/>
          <w:sz w:val="20"/>
          <w:lang w:val="x-none" w:eastAsia="x-none"/>
        </w:rPr>
        <w:t>l’Université</w:t>
      </w:r>
      <w:proofErr w:type="spellEnd"/>
      <w:r w:rsidRPr="003B3203">
        <w:rPr>
          <w:rFonts w:ascii="Verdana" w:hAnsi="Verdana" w:cs="Verdana"/>
          <w:b/>
          <w:sz w:val="20"/>
          <w:lang w:val="x-none" w:eastAsia="x-none"/>
        </w:rPr>
        <w:t xml:space="preserve"> des </w:t>
      </w:r>
      <w:r w:rsidRPr="003B3203">
        <w:rPr>
          <w:rFonts w:ascii="Verdana" w:hAnsi="Verdana"/>
          <w:b/>
          <w:sz w:val="20"/>
          <w:lang w:val="x-none" w:eastAsia="x-none"/>
        </w:rPr>
        <w:t xml:space="preserve">Sciences </w:t>
      </w:r>
      <w:proofErr w:type="spellStart"/>
      <w:r w:rsidRPr="003B3203">
        <w:rPr>
          <w:rFonts w:ascii="Verdana" w:hAnsi="Verdana"/>
          <w:b/>
          <w:sz w:val="20"/>
          <w:lang w:val="x-none" w:eastAsia="x-none"/>
        </w:rPr>
        <w:t>Sociales</w:t>
      </w:r>
      <w:proofErr w:type="spellEnd"/>
      <w:r w:rsidRPr="003B3203">
        <w:rPr>
          <w:rFonts w:ascii="Verdana" w:hAnsi="Verdana"/>
          <w:b/>
          <w:sz w:val="20"/>
          <w:lang w:val="x-none" w:eastAsia="x-none"/>
        </w:rPr>
        <w:t xml:space="preserve"> et de </w:t>
      </w:r>
      <w:proofErr w:type="spellStart"/>
      <w:r w:rsidRPr="003B3203">
        <w:rPr>
          <w:rFonts w:ascii="Verdana" w:hAnsi="Verdana"/>
          <w:b/>
          <w:sz w:val="20"/>
          <w:lang w:val="x-none" w:eastAsia="x-none"/>
        </w:rPr>
        <w:t>Gestio</w:t>
      </w:r>
      <w:r w:rsidRPr="003B3203">
        <w:rPr>
          <w:rFonts w:ascii="Verdana" w:hAnsi="Verdana" w:cs="Verdana"/>
          <w:b/>
          <w:sz w:val="20"/>
          <w:lang w:val="x-none" w:eastAsia="x-none"/>
        </w:rPr>
        <w:t>n</w:t>
      </w:r>
      <w:proofErr w:type="spellEnd"/>
      <w:r w:rsidRPr="003B3203">
        <w:rPr>
          <w:rFonts w:ascii="Verdana" w:hAnsi="Verdana" w:cs="Verdana"/>
          <w:b/>
          <w:sz w:val="20"/>
          <w:lang w:val="x-none" w:eastAsia="x-none"/>
        </w:rPr>
        <w:t xml:space="preserve"> de Bamako, à la Division </w:t>
      </w:r>
      <w:proofErr w:type="spellStart"/>
      <w:r w:rsidRPr="003B3203">
        <w:rPr>
          <w:rFonts w:ascii="Verdana" w:hAnsi="Verdana" w:cs="Verdana"/>
          <w:b/>
          <w:sz w:val="20"/>
          <w:lang w:val="x-none" w:eastAsia="x-none"/>
        </w:rPr>
        <w:t>Matériels</w:t>
      </w:r>
      <w:proofErr w:type="spellEnd"/>
      <w:r w:rsidRPr="003B3203">
        <w:rPr>
          <w:rFonts w:ascii="Verdana" w:hAnsi="Verdana" w:cs="Verdana"/>
          <w:b/>
          <w:sz w:val="20"/>
          <w:lang w:val="x-none" w:eastAsia="x-none"/>
        </w:rPr>
        <w:t xml:space="preserve"> et </w:t>
      </w:r>
      <w:proofErr w:type="spellStart"/>
      <w:r w:rsidRPr="003B3203">
        <w:rPr>
          <w:rFonts w:ascii="Verdana" w:hAnsi="Verdana" w:cs="Verdana"/>
          <w:b/>
          <w:sz w:val="20"/>
          <w:lang w:val="x-none" w:eastAsia="x-none"/>
        </w:rPr>
        <w:t>Approvisionnement</w:t>
      </w:r>
      <w:proofErr w:type="spellEnd"/>
      <w:r w:rsidRPr="003B3203">
        <w:rPr>
          <w:rFonts w:ascii="Verdana" w:hAnsi="Verdana" w:cs="Verdana"/>
          <w:b/>
          <w:sz w:val="20"/>
          <w:lang w:val="x-none" w:eastAsia="x-none"/>
        </w:rPr>
        <w:t xml:space="preserve">, BP : 2575, Quartier du </w:t>
      </w:r>
      <w:proofErr w:type="spellStart"/>
      <w:r w:rsidRPr="003B3203">
        <w:rPr>
          <w:rFonts w:ascii="Verdana" w:hAnsi="Verdana" w:cs="Verdana"/>
          <w:b/>
          <w:sz w:val="20"/>
          <w:lang w:val="x-none" w:eastAsia="x-none"/>
        </w:rPr>
        <w:t>Fleuve</w:t>
      </w:r>
      <w:proofErr w:type="spellEnd"/>
      <w:r w:rsidRPr="003B3203">
        <w:rPr>
          <w:rFonts w:ascii="Verdana" w:hAnsi="Verdana" w:cs="Verdana"/>
          <w:b/>
          <w:sz w:val="20"/>
          <w:lang w:val="x-none" w:eastAsia="x-none"/>
        </w:rPr>
        <w:t xml:space="preserve"> Rue 310 Porte 238 </w:t>
      </w:r>
      <w:proofErr w:type="spellStart"/>
      <w:r w:rsidRPr="003B3203">
        <w:rPr>
          <w:rFonts w:ascii="Verdana" w:hAnsi="Verdana" w:cs="Verdana"/>
          <w:b/>
          <w:sz w:val="20"/>
          <w:lang w:val="x-none" w:eastAsia="x-none"/>
        </w:rPr>
        <w:t>près</w:t>
      </w:r>
      <w:proofErr w:type="spellEnd"/>
      <w:r w:rsidRPr="003B3203">
        <w:rPr>
          <w:rFonts w:ascii="Verdana" w:hAnsi="Verdana" w:cs="Verdana"/>
          <w:b/>
          <w:sz w:val="20"/>
          <w:lang w:val="x-none" w:eastAsia="x-none"/>
        </w:rPr>
        <w:t xml:space="preserve"> du Marché </w:t>
      </w:r>
      <w:proofErr w:type="spellStart"/>
      <w:r w:rsidRPr="003B3203">
        <w:rPr>
          <w:rFonts w:ascii="Verdana" w:hAnsi="Verdana" w:cs="Verdana"/>
          <w:b/>
          <w:sz w:val="20"/>
          <w:lang w:val="x-none" w:eastAsia="x-none"/>
        </w:rPr>
        <w:t>Dibida</w:t>
      </w:r>
      <w:proofErr w:type="spellEnd"/>
      <w:r w:rsidRPr="003B3203">
        <w:rPr>
          <w:rFonts w:ascii="Verdana" w:hAnsi="Verdana" w:cs="Verdana"/>
          <w:b/>
          <w:sz w:val="20"/>
          <w:lang w:val="x-none" w:eastAsia="x-none"/>
        </w:rPr>
        <w:t xml:space="preserve">, </w:t>
      </w:r>
      <w:proofErr w:type="spellStart"/>
      <w:r w:rsidRPr="003B3203">
        <w:rPr>
          <w:rFonts w:ascii="Verdana" w:hAnsi="Verdana" w:cs="Verdana"/>
          <w:b/>
          <w:sz w:val="20"/>
          <w:lang w:val="x-none" w:eastAsia="x-none"/>
        </w:rPr>
        <w:t>téléphone</w:t>
      </w:r>
      <w:proofErr w:type="spellEnd"/>
      <w:r w:rsidRPr="003B3203">
        <w:rPr>
          <w:rFonts w:ascii="Verdana" w:hAnsi="Verdana" w:cs="Verdana"/>
          <w:b/>
          <w:sz w:val="20"/>
          <w:lang w:val="x-none" w:eastAsia="x-none"/>
        </w:rPr>
        <w:t> :20 22 08 65/Bamako</w:t>
      </w:r>
      <w:r w:rsidRPr="00387D60">
        <w:rPr>
          <w:b/>
        </w:rPr>
        <w:t>.</w:t>
      </w:r>
      <w:r w:rsidRPr="0076771D">
        <w:t xml:space="preserve"> Le Dossier d’Appel d’offres sera adressé par courrier électronique ou remis sur place en support papier</w:t>
      </w:r>
      <w:r>
        <w:t>.</w:t>
      </w:r>
    </w:p>
    <w:p w:rsidR="00C00635" w:rsidRPr="00804B82" w:rsidRDefault="00C00635" w:rsidP="00C00635">
      <w:pPr>
        <w:spacing w:before="120"/>
        <w:contextualSpacing/>
        <w:rPr>
          <w:iCs/>
        </w:rPr>
      </w:pPr>
      <w:r>
        <w:t xml:space="preserve">5. </w:t>
      </w:r>
      <w:r w:rsidRPr="0076771D">
        <w:t xml:space="preserve">Les offres devront être soumises </w:t>
      </w:r>
      <w:r>
        <w:t xml:space="preserve">au </w:t>
      </w:r>
      <w:r w:rsidRPr="00904138">
        <w:rPr>
          <w:rFonts w:ascii="Verdana" w:hAnsi="Verdana" w:cs="Verdana"/>
          <w:b/>
          <w:sz w:val="20"/>
          <w:lang w:val="x-none" w:eastAsia="x-none"/>
        </w:rPr>
        <w:t xml:space="preserve">Service des Finances de </w:t>
      </w:r>
      <w:proofErr w:type="spellStart"/>
      <w:r w:rsidRPr="00904138">
        <w:rPr>
          <w:rFonts w:ascii="Verdana" w:hAnsi="Verdana" w:cs="Verdana"/>
          <w:b/>
          <w:sz w:val="20"/>
          <w:lang w:val="x-none" w:eastAsia="x-none"/>
        </w:rPr>
        <w:t>l’Université</w:t>
      </w:r>
      <w:proofErr w:type="spellEnd"/>
      <w:r w:rsidRPr="00904138">
        <w:rPr>
          <w:rFonts w:ascii="Verdana" w:hAnsi="Verdana" w:cs="Verdana"/>
          <w:b/>
          <w:sz w:val="20"/>
          <w:lang w:val="x-none" w:eastAsia="x-none"/>
        </w:rPr>
        <w:t xml:space="preserve"> des </w:t>
      </w:r>
      <w:r w:rsidRPr="00904138">
        <w:rPr>
          <w:rFonts w:ascii="Verdana" w:hAnsi="Verdana"/>
          <w:b/>
          <w:sz w:val="20"/>
          <w:lang w:val="x-none" w:eastAsia="x-none"/>
        </w:rPr>
        <w:t xml:space="preserve">Sciences </w:t>
      </w:r>
      <w:proofErr w:type="spellStart"/>
      <w:r w:rsidRPr="00904138">
        <w:rPr>
          <w:rFonts w:ascii="Verdana" w:hAnsi="Verdana"/>
          <w:b/>
          <w:sz w:val="20"/>
          <w:lang w:val="x-none" w:eastAsia="x-none"/>
        </w:rPr>
        <w:t>Sociales</w:t>
      </w:r>
      <w:proofErr w:type="spellEnd"/>
      <w:r w:rsidRPr="00904138">
        <w:rPr>
          <w:rFonts w:ascii="Verdana" w:hAnsi="Verdana"/>
          <w:b/>
          <w:sz w:val="20"/>
          <w:lang w:val="x-none" w:eastAsia="x-none"/>
        </w:rPr>
        <w:t xml:space="preserve"> et de </w:t>
      </w:r>
      <w:proofErr w:type="spellStart"/>
      <w:r w:rsidRPr="00904138">
        <w:rPr>
          <w:rFonts w:ascii="Verdana" w:hAnsi="Verdana"/>
          <w:b/>
          <w:sz w:val="20"/>
          <w:lang w:val="x-none" w:eastAsia="x-none"/>
        </w:rPr>
        <w:t>Gestio</w:t>
      </w:r>
      <w:r w:rsidRPr="00904138">
        <w:rPr>
          <w:rFonts w:ascii="Verdana" w:hAnsi="Verdana" w:cs="Verdana"/>
          <w:b/>
          <w:sz w:val="20"/>
          <w:lang w:val="x-none" w:eastAsia="x-none"/>
        </w:rPr>
        <w:t>n</w:t>
      </w:r>
      <w:proofErr w:type="spellEnd"/>
      <w:r w:rsidRPr="00904138">
        <w:rPr>
          <w:rFonts w:ascii="Verdana" w:hAnsi="Verdana" w:cs="Verdana"/>
          <w:b/>
          <w:sz w:val="20"/>
          <w:lang w:val="x-none" w:eastAsia="x-none"/>
        </w:rPr>
        <w:t xml:space="preserve"> de Bamako, à la Division </w:t>
      </w:r>
      <w:proofErr w:type="spellStart"/>
      <w:r w:rsidRPr="00904138">
        <w:rPr>
          <w:rFonts w:ascii="Verdana" w:hAnsi="Verdana" w:cs="Verdana"/>
          <w:b/>
          <w:sz w:val="20"/>
          <w:lang w:val="x-none" w:eastAsia="x-none"/>
        </w:rPr>
        <w:t>Matériels</w:t>
      </w:r>
      <w:proofErr w:type="spellEnd"/>
      <w:r w:rsidRPr="00904138">
        <w:rPr>
          <w:rFonts w:ascii="Verdana" w:hAnsi="Verdana" w:cs="Verdana"/>
          <w:b/>
          <w:sz w:val="20"/>
          <w:lang w:val="x-none" w:eastAsia="x-none"/>
        </w:rPr>
        <w:t xml:space="preserve"> et </w:t>
      </w:r>
      <w:proofErr w:type="spellStart"/>
      <w:r w:rsidRPr="00904138">
        <w:rPr>
          <w:rFonts w:ascii="Verdana" w:hAnsi="Verdana" w:cs="Verdana"/>
          <w:b/>
          <w:sz w:val="20"/>
          <w:lang w:val="x-none" w:eastAsia="x-none"/>
        </w:rPr>
        <w:t>Approvisionnement</w:t>
      </w:r>
      <w:proofErr w:type="spellEnd"/>
      <w:r w:rsidRPr="00904138">
        <w:rPr>
          <w:rFonts w:ascii="Verdana" w:hAnsi="Verdana" w:cs="Verdana"/>
          <w:b/>
          <w:sz w:val="20"/>
          <w:lang w:val="x-none" w:eastAsia="x-none"/>
        </w:rPr>
        <w:t xml:space="preserve">, BP : 2575, Quartier du </w:t>
      </w:r>
      <w:proofErr w:type="spellStart"/>
      <w:r w:rsidRPr="00904138">
        <w:rPr>
          <w:rFonts w:ascii="Verdana" w:hAnsi="Verdana" w:cs="Verdana"/>
          <w:b/>
          <w:sz w:val="20"/>
          <w:lang w:val="x-none" w:eastAsia="x-none"/>
        </w:rPr>
        <w:t>Fleuve</w:t>
      </w:r>
      <w:proofErr w:type="spellEnd"/>
      <w:r w:rsidRPr="00904138">
        <w:rPr>
          <w:rFonts w:ascii="Verdana" w:hAnsi="Verdana" w:cs="Verdana"/>
          <w:b/>
          <w:sz w:val="20"/>
          <w:lang w:val="x-none" w:eastAsia="x-none"/>
        </w:rPr>
        <w:t xml:space="preserve"> Rue 310 Porte 238 </w:t>
      </w:r>
      <w:proofErr w:type="spellStart"/>
      <w:r w:rsidRPr="00904138">
        <w:rPr>
          <w:rFonts w:ascii="Verdana" w:hAnsi="Verdana" w:cs="Verdana"/>
          <w:b/>
          <w:sz w:val="20"/>
          <w:lang w:val="x-none" w:eastAsia="x-none"/>
        </w:rPr>
        <w:t>près</w:t>
      </w:r>
      <w:proofErr w:type="spellEnd"/>
      <w:r w:rsidRPr="00904138">
        <w:rPr>
          <w:rFonts w:ascii="Verdana" w:hAnsi="Verdana" w:cs="Verdana"/>
          <w:b/>
          <w:sz w:val="20"/>
          <w:lang w:val="x-none" w:eastAsia="x-none"/>
        </w:rPr>
        <w:t xml:space="preserve"> du Marché </w:t>
      </w:r>
      <w:proofErr w:type="spellStart"/>
      <w:r w:rsidRPr="00904138">
        <w:rPr>
          <w:rFonts w:ascii="Verdana" w:hAnsi="Verdana" w:cs="Verdana"/>
          <w:b/>
          <w:sz w:val="20"/>
          <w:lang w:val="x-none" w:eastAsia="x-none"/>
        </w:rPr>
        <w:t>Dibida</w:t>
      </w:r>
      <w:proofErr w:type="spellEnd"/>
      <w:r w:rsidRPr="00904138">
        <w:rPr>
          <w:rFonts w:ascii="Verdana" w:hAnsi="Verdana" w:cs="Verdana"/>
          <w:b/>
          <w:sz w:val="20"/>
          <w:lang w:val="x-none" w:eastAsia="x-none"/>
        </w:rPr>
        <w:t xml:space="preserve">, </w:t>
      </w:r>
      <w:proofErr w:type="spellStart"/>
      <w:r w:rsidRPr="00904138">
        <w:rPr>
          <w:rFonts w:ascii="Verdana" w:hAnsi="Verdana" w:cs="Verdana"/>
          <w:b/>
          <w:sz w:val="20"/>
          <w:lang w:val="x-none" w:eastAsia="x-none"/>
        </w:rPr>
        <w:t>téléphone</w:t>
      </w:r>
      <w:proofErr w:type="spellEnd"/>
      <w:r w:rsidRPr="00904138">
        <w:rPr>
          <w:rFonts w:ascii="Verdana" w:hAnsi="Verdana" w:cs="Verdana"/>
          <w:b/>
          <w:sz w:val="20"/>
          <w:lang w:val="x-none" w:eastAsia="x-none"/>
        </w:rPr>
        <w:t> :20 22 08 65/Bamako</w:t>
      </w:r>
      <w:r w:rsidRPr="0076771D">
        <w:t xml:space="preserve">, au plus tard le </w:t>
      </w:r>
      <w:r>
        <w:t xml:space="preserve">18 octobre 2024 </w:t>
      </w:r>
      <w:r w:rsidRPr="0076771D">
        <w:t xml:space="preserve">à </w:t>
      </w:r>
      <w:r w:rsidRPr="00904138">
        <w:rPr>
          <w:b/>
        </w:rPr>
        <w:t>10 heures 0</w:t>
      </w:r>
      <w:r>
        <w:rPr>
          <w:b/>
        </w:rPr>
        <w:t xml:space="preserve">0 minutes </w:t>
      </w:r>
      <w:r w:rsidRPr="0076771D">
        <w:t>en un (1) original et</w:t>
      </w:r>
      <w:r>
        <w:t xml:space="preserve"> </w:t>
      </w:r>
      <w:r w:rsidRPr="0076771D">
        <w:t>deux (2) copies. Les offres remises en</w:t>
      </w:r>
      <w:r>
        <w:t xml:space="preserve"> retard ne seront pas acceptées</w:t>
      </w:r>
      <w:r w:rsidRPr="00850EA4">
        <w:t xml:space="preserve">. </w:t>
      </w:r>
    </w:p>
    <w:p w:rsidR="00C00635" w:rsidRPr="00F82150" w:rsidRDefault="00C00635" w:rsidP="00C00635">
      <w:pPr>
        <w:pStyle w:val="Paragraphedeliste"/>
        <w:numPr>
          <w:ilvl w:val="0"/>
          <w:numId w:val="3"/>
        </w:numPr>
        <w:contextualSpacing/>
      </w:pPr>
      <w:r w:rsidRPr="00850EA4">
        <w:t xml:space="preserve">Les offres doivent comprendre </w:t>
      </w:r>
      <w:r w:rsidRPr="00F82150">
        <w:rPr>
          <w:iCs/>
        </w:rPr>
        <w:t>une garantie de soumission</w:t>
      </w:r>
      <w:r w:rsidRPr="00850EA4">
        <w:t>, d’un m</w:t>
      </w:r>
      <w:r>
        <w:t xml:space="preserve">ontant de : </w:t>
      </w:r>
      <w:r w:rsidRPr="00F82150">
        <w:rPr>
          <w:rFonts w:eastAsiaTheme="minorEastAsia" w:cs="Times New Roman"/>
          <w:b/>
        </w:rPr>
        <w:t>cinq millions cinq cent vingt mille (5 520 000) francs CFA</w:t>
      </w:r>
    </w:p>
    <w:p w:rsidR="00C00635" w:rsidRPr="00850EA4" w:rsidRDefault="00C00635" w:rsidP="00C00635">
      <w:pPr>
        <w:pStyle w:val="Paragraphedeliste"/>
        <w:ind w:left="600"/>
        <w:contextualSpacing/>
      </w:pPr>
    </w:p>
    <w:p w:rsidR="00C00635" w:rsidRPr="00804B82" w:rsidRDefault="00C00635" w:rsidP="00C00635">
      <w:pPr>
        <w:pStyle w:val="Paragraphedeliste"/>
        <w:numPr>
          <w:ilvl w:val="0"/>
          <w:numId w:val="3"/>
        </w:numPr>
        <w:contextualSpacing/>
        <w:rPr>
          <w:iCs/>
        </w:rPr>
      </w:pPr>
      <w:r w:rsidRPr="00850EA4">
        <w:t xml:space="preserve">Les Soumissionnaires resteront engagés par leur offre pendant une période de </w:t>
      </w:r>
      <w:r w:rsidRPr="00804B82">
        <w:rPr>
          <w:b/>
        </w:rPr>
        <w:t xml:space="preserve">quatre-vingt-dix (90) jours </w:t>
      </w:r>
      <w:r w:rsidRPr="00850EA4">
        <w:t>à compter de la date limite du dépôt des offres</w:t>
      </w:r>
      <w:r>
        <w:t xml:space="preserve"> comme spécifiées au point 19.1 des IC et au DPAO</w:t>
      </w:r>
      <w:r w:rsidRPr="00850EA4">
        <w:t>.</w:t>
      </w:r>
    </w:p>
    <w:p w:rsidR="00C00635" w:rsidRPr="00850EA4" w:rsidRDefault="00C00635" w:rsidP="00C00635">
      <w:pPr>
        <w:pStyle w:val="Paragraphedeliste"/>
      </w:pPr>
    </w:p>
    <w:p w:rsidR="00C00635" w:rsidRPr="00804B82" w:rsidRDefault="00C00635" w:rsidP="00C00635">
      <w:pPr>
        <w:pStyle w:val="Paragraphedeliste"/>
        <w:numPr>
          <w:ilvl w:val="0"/>
          <w:numId w:val="3"/>
        </w:numPr>
        <w:contextualSpacing/>
        <w:rPr>
          <w:iCs/>
        </w:rPr>
      </w:pPr>
      <w:r w:rsidRPr="0076771D">
        <w:t xml:space="preserve">Les offres seront ouvertes en présence des représentants des Soumissionnaires présents dans </w:t>
      </w:r>
      <w:r w:rsidRPr="00804B82">
        <w:rPr>
          <w:b/>
        </w:rPr>
        <w:t xml:space="preserve">la salle de réunion </w:t>
      </w:r>
      <w:r w:rsidRPr="00804B82">
        <w:rPr>
          <w:rFonts w:ascii="Verdana" w:hAnsi="Verdana" w:cs="Verdana"/>
          <w:b/>
          <w:sz w:val="20"/>
          <w:lang w:val="x-none" w:eastAsia="x-none"/>
        </w:rPr>
        <w:t xml:space="preserve">Service des Finances de </w:t>
      </w:r>
      <w:proofErr w:type="spellStart"/>
      <w:r w:rsidRPr="00804B82">
        <w:rPr>
          <w:rFonts w:ascii="Verdana" w:hAnsi="Verdana" w:cs="Verdana"/>
          <w:b/>
          <w:sz w:val="20"/>
          <w:lang w:val="x-none" w:eastAsia="x-none"/>
        </w:rPr>
        <w:t>l’Université</w:t>
      </w:r>
      <w:proofErr w:type="spellEnd"/>
      <w:r w:rsidRPr="00804B82">
        <w:rPr>
          <w:rFonts w:ascii="Verdana" w:hAnsi="Verdana" w:cs="Verdana"/>
          <w:b/>
          <w:sz w:val="20"/>
          <w:lang w:val="x-none" w:eastAsia="x-none"/>
        </w:rPr>
        <w:t xml:space="preserve"> des </w:t>
      </w:r>
      <w:r w:rsidRPr="00804B82">
        <w:rPr>
          <w:rFonts w:ascii="Verdana" w:hAnsi="Verdana"/>
          <w:b/>
          <w:sz w:val="20"/>
          <w:lang w:val="x-none" w:eastAsia="x-none"/>
        </w:rPr>
        <w:t xml:space="preserve">Sciences </w:t>
      </w:r>
      <w:proofErr w:type="spellStart"/>
      <w:r w:rsidRPr="00804B82">
        <w:rPr>
          <w:rFonts w:ascii="Verdana" w:hAnsi="Verdana"/>
          <w:b/>
          <w:sz w:val="20"/>
          <w:lang w:val="x-none" w:eastAsia="x-none"/>
        </w:rPr>
        <w:t>Sociales</w:t>
      </w:r>
      <w:proofErr w:type="spellEnd"/>
      <w:r w:rsidRPr="00804B82">
        <w:rPr>
          <w:rFonts w:ascii="Verdana" w:hAnsi="Verdana"/>
          <w:b/>
          <w:sz w:val="20"/>
          <w:lang w:val="x-none" w:eastAsia="x-none"/>
        </w:rPr>
        <w:t xml:space="preserve"> et de </w:t>
      </w:r>
      <w:proofErr w:type="spellStart"/>
      <w:r w:rsidRPr="00804B82">
        <w:rPr>
          <w:rFonts w:ascii="Verdana" w:hAnsi="Verdana"/>
          <w:b/>
          <w:sz w:val="20"/>
          <w:lang w:val="x-none" w:eastAsia="x-none"/>
        </w:rPr>
        <w:t>Gestio</w:t>
      </w:r>
      <w:r w:rsidRPr="00804B82">
        <w:rPr>
          <w:rFonts w:ascii="Verdana" w:hAnsi="Verdana" w:cs="Verdana"/>
          <w:b/>
          <w:sz w:val="20"/>
          <w:lang w:val="x-none" w:eastAsia="x-none"/>
        </w:rPr>
        <w:t>n</w:t>
      </w:r>
      <w:proofErr w:type="spellEnd"/>
      <w:r w:rsidRPr="00804B82">
        <w:rPr>
          <w:rFonts w:ascii="Verdana" w:hAnsi="Verdana" w:cs="Verdana"/>
          <w:b/>
          <w:sz w:val="20"/>
          <w:lang w:val="x-none" w:eastAsia="x-none"/>
        </w:rPr>
        <w:t xml:space="preserve"> de Bamako, à la Division </w:t>
      </w:r>
      <w:proofErr w:type="spellStart"/>
      <w:r w:rsidRPr="00804B82">
        <w:rPr>
          <w:rFonts w:ascii="Verdana" w:hAnsi="Verdana" w:cs="Verdana"/>
          <w:b/>
          <w:sz w:val="20"/>
          <w:lang w:val="x-none" w:eastAsia="x-none"/>
        </w:rPr>
        <w:t>Matériels</w:t>
      </w:r>
      <w:proofErr w:type="spellEnd"/>
      <w:r w:rsidRPr="00804B82">
        <w:rPr>
          <w:rFonts w:ascii="Verdana" w:hAnsi="Verdana" w:cs="Verdana"/>
          <w:b/>
          <w:sz w:val="20"/>
          <w:lang w:val="x-none" w:eastAsia="x-none"/>
        </w:rPr>
        <w:t xml:space="preserve"> et </w:t>
      </w:r>
      <w:proofErr w:type="spellStart"/>
      <w:r w:rsidRPr="00804B82">
        <w:rPr>
          <w:rFonts w:ascii="Verdana" w:hAnsi="Verdana" w:cs="Verdana"/>
          <w:b/>
          <w:sz w:val="20"/>
          <w:lang w:val="x-none" w:eastAsia="x-none"/>
        </w:rPr>
        <w:t>Approvisionnement</w:t>
      </w:r>
      <w:proofErr w:type="spellEnd"/>
      <w:r w:rsidRPr="00804B82">
        <w:rPr>
          <w:rFonts w:ascii="Verdana" w:hAnsi="Verdana" w:cs="Verdana"/>
          <w:b/>
          <w:sz w:val="20"/>
          <w:lang w:val="x-none" w:eastAsia="x-none"/>
        </w:rPr>
        <w:t xml:space="preserve">, BP : 2575, Quartier du </w:t>
      </w:r>
      <w:proofErr w:type="spellStart"/>
      <w:r w:rsidRPr="00804B82">
        <w:rPr>
          <w:rFonts w:ascii="Verdana" w:hAnsi="Verdana" w:cs="Verdana"/>
          <w:b/>
          <w:sz w:val="20"/>
          <w:lang w:val="x-none" w:eastAsia="x-none"/>
        </w:rPr>
        <w:t>Fleuve</w:t>
      </w:r>
      <w:proofErr w:type="spellEnd"/>
      <w:r w:rsidRPr="00804B82">
        <w:rPr>
          <w:rFonts w:ascii="Verdana" w:hAnsi="Verdana" w:cs="Verdana"/>
          <w:b/>
          <w:sz w:val="20"/>
          <w:lang w:val="x-none" w:eastAsia="x-none"/>
        </w:rPr>
        <w:t xml:space="preserve"> Rue 310 Porte 238 </w:t>
      </w:r>
      <w:proofErr w:type="spellStart"/>
      <w:r w:rsidRPr="00804B82">
        <w:rPr>
          <w:rFonts w:ascii="Verdana" w:hAnsi="Verdana" w:cs="Verdana"/>
          <w:b/>
          <w:sz w:val="20"/>
          <w:lang w:val="x-none" w:eastAsia="x-none"/>
        </w:rPr>
        <w:t>près</w:t>
      </w:r>
      <w:proofErr w:type="spellEnd"/>
      <w:r w:rsidRPr="00804B82">
        <w:rPr>
          <w:rFonts w:ascii="Verdana" w:hAnsi="Verdana" w:cs="Verdana"/>
          <w:b/>
          <w:sz w:val="20"/>
          <w:lang w:val="x-none" w:eastAsia="x-none"/>
        </w:rPr>
        <w:t xml:space="preserve"> du Marché </w:t>
      </w:r>
      <w:proofErr w:type="spellStart"/>
      <w:r w:rsidRPr="00804B82">
        <w:rPr>
          <w:rFonts w:ascii="Verdana" w:hAnsi="Verdana" w:cs="Verdana"/>
          <w:b/>
          <w:sz w:val="20"/>
          <w:lang w:val="x-none" w:eastAsia="x-none"/>
        </w:rPr>
        <w:t>Dibida</w:t>
      </w:r>
      <w:proofErr w:type="spellEnd"/>
      <w:r w:rsidRPr="00804B82">
        <w:rPr>
          <w:rFonts w:ascii="Verdana" w:hAnsi="Verdana" w:cs="Verdana"/>
          <w:b/>
          <w:sz w:val="20"/>
          <w:lang w:val="x-none" w:eastAsia="x-none"/>
        </w:rPr>
        <w:t xml:space="preserve">, </w:t>
      </w:r>
      <w:proofErr w:type="spellStart"/>
      <w:r w:rsidRPr="00804B82">
        <w:rPr>
          <w:rFonts w:ascii="Verdana" w:hAnsi="Verdana" w:cs="Verdana"/>
          <w:b/>
          <w:sz w:val="20"/>
          <w:lang w:val="x-none" w:eastAsia="x-none"/>
        </w:rPr>
        <w:t>téléphone</w:t>
      </w:r>
      <w:proofErr w:type="spellEnd"/>
      <w:r w:rsidRPr="00804B82">
        <w:rPr>
          <w:rFonts w:ascii="Verdana" w:hAnsi="Verdana" w:cs="Verdana"/>
          <w:b/>
          <w:sz w:val="20"/>
          <w:lang w:val="x-none" w:eastAsia="x-none"/>
        </w:rPr>
        <w:t> :20 22 08 65/</w:t>
      </w:r>
      <w:proofErr w:type="gramStart"/>
      <w:r w:rsidRPr="00804B82">
        <w:rPr>
          <w:rFonts w:ascii="Verdana" w:hAnsi="Verdana" w:cs="Verdana"/>
          <w:b/>
          <w:sz w:val="20"/>
          <w:lang w:val="x-none" w:eastAsia="x-none"/>
        </w:rPr>
        <w:t>Bamako</w:t>
      </w:r>
      <w:r w:rsidRPr="0076771D">
        <w:t>,  au</w:t>
      </w:r>
      <w:proofErr w:type="gramEnd"/>
      <w:r w:rsidRPr="0076771D">
        <w:t xml:space="preserve"> plus tard le </w:t>
      </w:r>
      <w:r>
        <w:t>18 octobre 2024</w:t>
      </w:r>
      <w:r w:rsidRPr="0076771D">
        <w:t xml:space="preserve"> à </w:t>
      </w:r>
      <w:r>
        <w:rPr>
          <w:b/>
        </w:rPr>
        <w:t>10 heures 00</w:t>
      </w:r>
      <w:r w:rsidRPr="00804B82">
        <w:rPr>
          <w:b/>
        </w:rPr>
        <w:t xml:space="preserve"> minutes</w:t>
      </w:r>
      <w:r w:rsidRPr="0076771D">
        <w:t>.</w:t>
      </w:r>
    </w:p>
    <w:p w:rsidR="00C00635" w:rsidRDefault="00C00635" w:rsidP="00C00635">
      <w:pPr>
        <w:pStyle w:val="Paragraphedeliste"/>
        <w:spacing w:after="200"/>
        <w:ind w:left="600"/>
      </w:pPr>
      <w:r>
        <w:tab/>
      </w:r>
      <w:r>
        <w:tab/>
      </w:r>
      <w:r>
        <w:tab/>
      </w:r>
      <w:r>
        <w:tab/>
      </w:r>
      <w:r>
        <w:tab/>
      </w:r>
      <w:r>
        <w:tab/>
      </w:r>
      <w:r>
        <w:tab/>
      </w:r>
      <w:r>
        <w:tab/>
      </w:r>
      <w:r>
        <w:tab/>
      </w:r>
    </w:p>
    <w:p w:rsidR="00C00635" w:rsidRPr="00850EA4" w:rsidRDefault="00C00635" w:rsidP="00C00635">
      <w:pPr>
        <w:pStyle w:val="Paragraphedeliste"/>
        <w:spacing w:after="200"/>
        <w:ind w:left="600"/>
      </w:pPr>
      <w:r w:rsidRPr="0076771D">
        <w:t xml:space="preserve">                                                                 </w:t>
      </w:r>
      <w:r>
        <w:t xml:space="preserve">                </w:t>
      </w:r>
      <w:r w:rsidRPr="0076771D">
        <w:t xml:space="preserve"> </w:t>
      </w:r>
      <w:r w:rsidRPr="006102C6">
        <w:t>Bamako, le…………</w:t>
      </w:r>
      <w:proofErr w:type="gramStart"/>
      <w:r w:rsidRPr="006102C6">
        <w:t>…….</w:t>
      </w:r>
      <w:proofErr w:type="gramEnd"/>
      <w:r w:rsidRPr="006102C6">
        <w:t>.202</w:t>
      </w:r>
      <w:r>
        <w:t>4</w:t>
      </w:r>
    </w:p>
    <w:p w:rsidR="00C00635" w:rsidRDefault="00C00635" w:rsidP="00C00635">
      <w:pPr>
        <w:tabs>
          <w:tab w:val="center" w:pos="5269"/>
        </w:tabs>
        <w:spacing w:after="0"/>
        <w:rPr>
          <w:rFonts w:ascii="Times New Roman" w:hAnsi="Times New Roman" w:cs="Times New Roman"/>
          <w:b/>
        </w:rPr>
      </w:pPr>
      <w:r>
        <w:rPr>
          <w:b/>
        </w:rPr>
        <w:tab/>
      </w:r>
      <w:r>
        <w:rPr>
          <w:b/>
        </w:rPr>
        <w:tab/>
        <w:t xml:space="preserve">  </w:t>
      </w:r>
      <w:r>
        <w:rPr>
          <w:rFonts w:ascii="Times New Roman" w:hAnsi="Times New Roman" w:cs="Times New Roman"/>
          <w:b/>
        </w:rPr>
        <w:t>Le Recteur</w:t>
      </w:r>
    </w:p>
    <w:p w:rsidR="00C00635" w:rsidRDefault="00C00635" w:rsidP="00C00635">
      <w:pPr>
        <w:tabs>
          <w:tab w:val="center" w:pos="5269"/>
        </w:tabs>
        <w:spacing w:after="0"/>
        <w:rPr>
          <w:rFonts w:ascii="Times New Roman" w:hAnsi="Times New Roman" w:cs="Times New Roman"/>
          <w:b/>
        </w:rPr>
      </w:pPr>
    </w:p>
    <w:p w:rsidR="00C00635" w:rsidRDefault="00C00635" w:rsidP="00C00635">
      <w:pPr>
        <w:tabs>
          <w:tab w:val="center" w:pos="5269"/>
        </w:tabs>
        <w:spacing w:after="0"/>
        <w:rPr>
          <w:rFonts w:ascii="Times New Roman" w:hAnsi="Times New Roman" w:cs="Times New Roman"/>
          <w:b/>
        </w:rPr>
      </w:pPr>
    </w:p>
    <w:p w:rsidR="00281CE0" w:rsidRDefault="00281CE0">
      <w:bookmarkStart w:id="1" w:name="_GoBack"/>
      <w:bookmarkEnd w:id="1"/>
    </w:p>
    <w:sectPr w:rsidR="00281C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123DE"/>
    <w:multiLevelType w:val="hybridMultilevel"/>
    <w:tmpl w:val="84BCC0F8"/>
    <w:lvl w:ilvl="0" w:tplc="DFBA7472">
      <w:start w:val="2"/>
      <w:numFmt w:val="bullet"/>
      <w:lvlText w:val="-"/>
      <w:lvlJc w:val="left"/>
      <w:pPr>
        <w:ind w:left="720" w:hanging="360"/>
      </w:pPr>
      <w:rPr>
        <w:rFonts w:ascii="Verdana" w:eastAsia="Times New Roman" w:hAnsi="Verdana" w:cs="Verdana" w:hint="default"/>
        <w:b w:val="0"/>
      </w:rPr>
    </w:lvl>
    <w:lvl w:ilvl="1" w:tplc="C466348C" w:tentative="1">
      <w:start w:val="1"/>
      <w:numFmt w:val="bullet"/>
      <w:lvlText w:val="o"/>
      <w:lvlJc w:val="left"/>
      <w:pPr>
        <w:ind w:left="1440" w:hanging="360"/>
      </w:pPr>
      <w:rPr>
        <w:rFonts w:ascii="Courier New" w:hAnsi="Courier New" w:cs="Courier New" w:hint="default"/>
      </w:rPr>
    </w:lvl>
    <w:lvl w:ilvl="2" w:tplc="3C5058C6" w:tentative="1">
      <w:start w:val="1"/>
      <w:numFmt w:val="bullet"/>
      <w:lvlText w:val=""/>
      <w:lvlJc w:val="left"/>
      <w:pPr>
        <w:ind w:left="2160" w:hanging="360"/>
      </w:pPr>
      <w:rPr>
        <w:rFonts w:ascii="Wingdings" w:hAnsi="Wingdings" w:hint="default"/>
      </w:rPr>
    </w:lvl>
    <w:lvl w:ilvl="3" w:tplc="3A96E13C" w:tentative="1">
      <w:start w:val="1"/>
      <w:numFmt w:val="bullet"/>
      <w:lvlText w:val=""/>
      <w:lvlJc w:val="left"/>
      <w:pPr>
        <w:ind w:left="2880" w:hanging="360"/>
      </w:pPr>
      <w:rPr>
        <w:rFonts w:ascii="Symbol" w:hAnsi="Symbol" w:hint="default"/>
      </w:rPr>
    </w:lvl>
    <w:lvl w:ilvl="4" w:tplc="6B704778" w:tentative="1">
      <w:start w:val="1"/>
      <w:numFmt w:val="bullet"/>
      <w:lvlText w:val="o"/>
      <w:lvlJc w:val="left"/>
      <w:pPr>
        <w:ind w:left="3600" w:hanging="360"/>
      </w:pPr>
      <w:rPr>
        <w:rFonts w:ascii="Courier New" w:hAnsi="Courier New" w:cs="Courier New" w:hint="default"/>
      </w:rPr>
    </w:lvl>
    <w:lvl w:ilvl="5" w:tplc="495A78FC" w:tentative="1">
      <w:start w:val="1"/>
      <w:numFmt w:val="bullet"/>
      <w:lvlText w:val=""/>
      <w:lvlJc w:val="left"/>
      <w:pPr>
        <w:ind w:left="4320" w:hanging="360"/>
      </w:pPr>
      <w:rPr>
        <w:rFonts w:ascii="Wingdings" w:hAnsi="Wingdings" w:hint="default"/>
      </w:rPr>
    </w:lvl>
    <w:lvl w:ilvl="6" w:tplc="CF6C1FFC" w:tentative="1">
      <w:start w:val="1"/>
      <w:numFmt w:val="bullet"/>
      <w:lvlText w:val=""/>
      <w:lvlJc w:val="left"/>
      <w:pPr>
        <w:ind w:left="5040" w:hanging="360"/>
      </w:pPr>
      <w:rPr>
        <w:rFonts w:ascii="Symbol" w:hAnsi="Symbol" w:hint="default"/>
      </w:rPr>
    </w:lvl>
    <w:lvl w:ilvl="7" w:tplc="88B2B9A6" w:tentative="1">
      <w:start w:val="1"/>
      <w:numFmt w:val="bullet"/>
      <w:lvlText w:val="o"/>
      <w:lvlJc w:val="left"/>
      <w:pPr>
        <w:ind w:left="5760" w:hanging="360"/>
      </w:pPr>
      <w:rPr>
        <w:rFonts w:ascii="Courier New" w:hAnsi="Courier New" w:cs="Courier New" w:hint="default"/>
      </w:rPr>
    </w:lvl>
    <w:lvl w:ilvl="8" w:tplc="90D6D154" w:tentative="1">
      <w:start w:val="1"/>
      <w:numFmt w:val="bullet"/>
      <w:lvlText w:val=""/>
      <w:lvlJc w:val="left"/>
      <w:pPr>
        <w:ind w:left="6480" w:hanging="360"/>
      </w:pPr>
      <w:rPr>
        <w:rFonts w:ascii="Wingdings" w:hAnsi="Wingdings" w:hint="default"/>
      </w:rPr>
    </w:lvl>
  </w:abstractNum>
  <w:abstractNum w:abstractNumId="1" w15:restartNumberingAfterBreak="0">
    <w:nsid w:val="4A235648"/>
    <w:multiLevelType w:val="multilevel"/>
    <w:tmpl w:val="46C08C80"/>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6112392D"/>
    <w:multiLevelType w:val="hybridMultilevel"/>
    <w:tmpl w:val="957634EA"/>
    <w:lvl w:ilvl="0" w:tplc="00AAD868">
      <w:start w:val="6"/>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35"/>
    <w:rsid w:val="00281CE0"/>
    <w:rsid w:val="00C0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47EEF-26E4-45F4-BB2C-67D3E5E9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635"/>
    <w:pPr>
      <w:spacing w:after="200" w:line="276" w:lineRule="auto"/>
    </w:pPr>
    <w:rPr>
      <w:rFonts w:eastAsiaTheme="minorEastAsia"/>
      <w:lang w:val="fr-FR" w:eastAsia="fr-FR"/>
    </w:rPr>
  </w:style>
  <w:style w:type="paragraph" w:styleId="Titre5">
    <w:name w:val="heading 5"/>
    <w:basedOn w:val="Normal"/>
    <w:next w:val="Normal"/>
    <w:link w:val="Titre5Car"/>
    <w:uiPriority w:val="9"/>
    <w:qFormat/>
    <w:rsid w:val="00C00635"/>
    <w:pPr>
      <w:overflowPunct w:val="0"/>
      <w:autoSpaceDE w:val="0"/>
      <w:autoSpaceDN w:val="0"/>
      <w:adjustRightInd w:val="0"/>
      <w:spacing w:before="240" w:after="60" w:line="240" w:lineRule="auto"/>
      <w:jc w:val="center"/>
      <w:textAlignment w:val="baseline"/>
      <w:outlineLvl w:val="4"/>
    </w:pPr>
    <w:rPr>
      <w:rFonts w:ascii="Times New Roman" w:eastAsia="Times New Roman" w:hAnsi="Times New Roman" w:cs="Times New Roman"/>
      <w:b/>
      <w:sz w:val="28"/>
      <w:szCs w:val="24"/>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00635"/>
    <w:rPr>
      <w:rFonts w:ascii="Times New Roman" w:eastAsia="Times New Roman" w:hAnsi="Times New Roman" w:cs="Times New Roman"/>
      <w:b/>
      <w:sz w:val="28"/>
      <w:szCs w:val="24"/>
      <w:lang w:val="es-ES_tradnl" w:eastAsia="fr-FR"/>
    </w:rPr>
  </w:style>
  <w:style w:type="paragraph" w:styleId="NormalWeb">
    <w:name w:val="Normal (Web)"/>
    <w:basedOn w:val="Normal"/>
    <w:uiPriority w:val="99"/>
    <w:rsid w:val="00C00635"/>
    <w:pPr>
      <w:spacing w:before="100" w:beforeAutospacing="1" w:after="100" w:afterAutospacing="1" w:line="240" w:lineRule="auto"/>
    </w:pPr>
    <w:rPr>
      <w:rFonts w:ascii="Times New Roman" w:eastAsia="Times New Roman" w:hAnsi="Times New Roman" w:cs="Arial"/>
      <w:sz w:val="24"/>
      <w:szCs w:val="24"/>
    </w:rPr>
  </w:style>
  <w:style w:type="paragraph" w:styleId="Paragraphedeliste">
    <w:name w:val="List Paragraph"/>
    <w:aliases w:val="Bullets,Paragraphe  revu,Paragraphe de liste1,References,Dot pt,No Spacing1,List Paragraph Char Char Char,Indicator Text,List Paragraph1,Numbered Para 1,List Paragraph12,Bullet Points,MAIN CONTENT,Bullet 1,Liste 1,U 5"/>
    <w:basedOn w:val="Normal"/>
    <w:link w:val="ParagraphedelisteCar"/>
    <w:qFormat/>
    <w:rsid w:val="00C00635"/>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sz w:val="24"/>
      <w:szCs w:val="24"/>
    </w:rPr>
  </w:style>
  <w:style w:type="paragraph" w:styleId="Sansinterligne">
    <w:name w:val="No Spacing"/>
    <w:link w:val="SansinterligneCar"/>
    <w:uiPriority w:val="1"/>
    <w:qFormat/>
    <w:rsid w:val="00C00635"/>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uiPriority w:val="1"/>
    <w:rsid w:val="00C00635"/>
    <w:rPr>
      <w:rFonts w:ascii="Calibri" w:eastAsia="Times New Roman" w:hAnsi="Calibri" w:cs="Times New Roman"/>
      <w:lang w:val="fr-FR"/>
    </w:rPr>
  </w:style>
  <w:style w:type="character" w:customStyle="1" w:styleId="ParagraphedelisteCar">
    <w:name w:val="Paragraphe de liste Car"/>
    <w:aliases w:val="Bullets Car,Paragraphe  revu Car,Paragraphe de liste1 Car,References Car,Dot pt Car,No Spacing1 Car,List Paragraph Char Char Char Car,Indicator Text Car,List Paragraph1 Car,Numbered Para 1 Car,List Paragraph12 Car,Bullet 1 Car"/>
    <w:basedOn w:val="Policepardfaut"/>
    <w:link w:val="Paragraphedeliste"/>
    <w:qFormat/>
    <w:rsid w:val="00C00635"/>
    <w:rPr>
      <w:rFonts w:ascii="Times New Roman" w:eastAsia="Times New Roman" w:hAnsi="Times New Roman"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2024-08-27T18:52:00Z</dcterms:created>
  <dcterms:modified xsi:type="dcterms:W3CDTF">2024-08-27T18:53:00Z</dcterms:modified>
</cp:coreProperties>
</file>