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1336"/>
        <w:tblOverlap w:val="never"/>
        <w:tblW w:w="11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8"/>
        <w:gridCol w:w="4957"/>
      </w:tblGrid>
      <w:tr w:rsidR="00031ED5" w:rsidRPr="007C19AD" w:rsidTr="007A4A42">
        <w:trPr>
          <w:trHeight w:val="700"/>
        </w:trPr>
        <w:tc>
          <w:tcPr>
            <w:tcW w:w="6288" w:type="dxa"/>
            <w:shd w:val="clear" w:color="auto" w:fill="auto"/>
          </w:tcPr>
          <w:p w:rsidR="00031ED5" w:rsidRPr="008E77FE" w:rsidRDefault="00031ED5" w:rsidP="007A4A42">
            <w:pPr>
              <w:tabs>
                <w:tab w:val="left" w:pos="600"/>
                <w:tab w:val="left" w:pos="709"/>
                <w:tab w:val="left" w:pos="851"/>
              </w:tabs>
              <w:rPr>
                <w:rFonts w:ascii="Arial" w:hAnsi="Arial"/>
                <w:b/>
              </w:rPr>
            </w:pPr>
            <w:bookmarkStart w:id="0" w:name="_Toc80102386"/>
            <w:bookmarkStart w:id="1" w:name="_Toc80102675"/>
          </w:p>
          <w:p w:rsidR="00031ED5" w:rsidRPr="008E77FE" w:rsidRDefault="00031ED5" w:rsidP="007A4A42">
            <w:pPr>
              <w:tabs>
                <w:tab w:val="left" w:pos="600"/>
                <w:tab w:val="left" w:pos="709"/>
                <w:tab w:val="left" w:pos="851"/>
              </w:tabs>
              <w:rPr>
                <w:rFonts w:ascii="Arial" w:hAnsi="Arial"/>
                <w:b/>
              </w:rPr>
            </w:pPr>
          </w:p>
          <w:p w:rsidR="00031ED5" w:rsidRPr="008E77FE" w:rsidRDefault="00031ED5" w:rsidP="007A4A42">
            <w:pPr>
              <w:tabs>
                <w:tab w:val="left" w:pos="600"/>
                <w:tab w:val="left" w:pos="709"/>
                <w:tab w:val="left" w:pos="851"/>
              </w:tabs>
              <w:rPr>
                <w:rFonts w:ascii="Arial" w:hAnsi="Arial"/>
                <w:b/>
              </w:rPr>
            </w:pPr>
            <w:r w:rsidRPr="008E77FE">
              <w:rPr>
                <w:rFonts w:ascii="Arial" w:hAnsi="Arial"/>
                <w:b/>
              </w:rPr>
              <w:t xml:space="preserve">INSTITUT NATIONAL DE PREVOYANCE        </w:t>
            </w:r>
          </w:p>
          <w:p w:rsidR="00031ED5" w:rsidRPr="008E77FE" w:rsidRDefault="00031ED5" w:rsidP="007A4A42">
            <w:pPr>
              <w:tabs>
                <w:tab w:val="left" w:pos="600"/>
                <w:tab w:val="left" w:pos="709"/>
                <w:tab w:val="left" w:pos="851"/>
              </w:tabs>
              <w:rPr>
                <w:rFonts w:ascii="Arial" w:hAnsi="Arial"/>
                <w:b/>
              </w:rPr>
            </w:pPr>
            <w:r w:rsidRPr="008E77FE">
              <w:rPr>
                <w:rFonts w:ascii="Arial" w:hAnsi="Arial"/>
                <w:b/>
              </w:rPr>
              <w:t>SOCIALE-INPS</w:t>
            </w:r>
          </w:p>
          <w:p w:rsidR="00031ED5" w:rsidRPr="008E77FE" w:rsidRDefault="00031ED5" w:rsidP="007A4A42">
            <w:pPr>
              <w:tabs>
                <w:tab w:val="left" w:pos="600"/>
                <w:tab w:val="left" w:pos="709"/>
                <w:tab w:val="left" w:pos="851"/>
              </w:tabs>
              <w:rPr>
                <w:rFonts w:ascii="Arial" w:hAnsi="Arial"/>
                <w:b/>
              </w:rPr>
            </w:pPr>
            <w:r w:rsidRPr="008E77FE">
              <w:rPr>
                <w:rFonts w:ascii="Arial" w:hAnsi="Arial"/>
                <w:b/>
              </w:rPr>
              <w:t xml:space="preserve">   ----===---===---===-----                                                                                                                                                         DIRECTION REGIONALE DE KOULIKORO                                                                      </w:t>
            </w:r>
          </w:p>
          <w:p w:rsidR="00031ED5" w:rsidRPr="008E77FE" w:rsidRDefault="00031ED5" w:rsidP="007A4A42">
            <w:pPr>
              <w:tabs>
                <w:tab w:val="left" w:pos="600"/>
                <w:tab w:val="left" w:pos="709"/>
                <w:tab w:val="left" w:pos="851"/>
              </w:tabs>
              <w:rPr>
                <w:rFonts w:ascii="Arial" w:hAnsi="Arial"/>
                <w:b/>
              </w:rPr>
            </w:pPr>
            <w:r w:rsidRPr="008E77FE">
              <w:rPr>
                <w:rFonts w:ascii="Arial" w:hAnsi="Arial"/>
                <w:b/>
              </w:rPr>
              <w:t xml:space="preserve">BP : 22 TEL : 21-26-20-36       </w:t>
            </w:r>
            <w:r w:rsidRPr="008E77FE">
              <w:rPr>
                <w:rFonts w:ascii="Arial" w:hAnsi="Arial"/>
                <w:b/>
              </w:rPr>
              <w:tab/>
            </w:r>
            <w:r w:rsidRPr="008E77FE">
              <w:rPr>
                <w:rFonts w:ascii="Arial" w:hAnsi="Arial"/>
                <w:b/>
              </w:rPr>
              <w:tab/>
            </w:r>
          </w:p>
          <w:p w:rsidR="00031ED5" w:rsidRPr="007C19AD" w:rsidRDefault="00031ED5" w:rsidP="007A4A42">
            <w:pPr>
              <w:keepNext/>
              <w:jc w:val="center"/>
              <w:outlineLvl w:val="0"/>
              <w:rPr>
                <w:rFonts w:ascii="Arial Narrow" w:hAnsi="Arial Narrow"/>
                <w:noProof/>
                <w:sz w:val="28"/>
                <w:szCs w:val="28"/>
              </w:rPr>
            </w:pPr>
          </w:p>
        </w:tc>
        <w:tc>
          <w:tcPr>
            <w:tcW w:w="4957" w:type="dxa"/>
            <w:shd w:val="clear" w:color="auto" w:fill="auto"/>
          </w:tcPr>
          <w:p w:rsidR="00031ED5" w:rsidRPr="008E77FE" w:rsidRDefault="00031ED5" w:rsidP="007A4A42">
            <w:pPr>
              <w:rPr>
                <w:rFonts w:ascii="Arial" w:hAnsi="Arial"/>
                <w:b/>
              </w:rPr>
            </w:pPr>
            <w:r w:rsidRPr="008E77FE">
              <w:rPr>
                <w:rFonts w:ascii="Arial" w:hAnsi="Arial"/>
                <w:b/>
              </w:rPr>
              <w:t xml:space="preserve">     REPUBLIQUE DU MALI</w:t>
            </w:r>
          </w:p>
          <w:p w:rsidR="00031ED5" w:rsidRPr="007C19AD" w:rsidRDefault="00031ED5" w:rsidP="007A4A4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E77FE">
              <w:rPr>
                <w:rFonts w:ascii="Arial" w:hAnsi="Arial"/>
                <w:b/>
              </w:rPr>
              <w:t>UN PEUPLE-UN BUT-UNE FOI</w:t>
            </w:r>
          </w:p>
        </w:tc>
      </w:tr>
    </w:tbl>
    <w:p w:rsidR="00031ED5" w:rsidRDefault="00031ED5" w:rsidP="00031ED5">
      <w:pPr>
        <w:pStyle w:val="Part"/>
        <w:spacing w:before="0"/>
        <w:jc w:val="both"/>
        <w:outlineLvl w:val="1"/>
        <w:rPr>
          <w:rFonts w:ascii="Arial Narrow" w:hAnsi="Arial Narrow"/>
          <w:sz w:val="40"/>
          <w:szCs w:val="40"/>
        </w:rPr>
      </w:pPr>
      <w:r w:rsidRPr="008E77FE">
        <w:rPr>
          <w:rFonts w:ascii="Arial" w:hAnsi="Arial"/>
          <w:b w:val="0"/>
          <w:i/>
          <w:noProof/>
          <w:spacing w:val="-2"/>
        </w:rPr>
        <w:drawing>
          <wp:inline distT="0" distB="0" distL="0" distR="0" wp14:anchorId="0DA9FD8B" wp14:editId="4D7081C1">
            <wp:extent cx="1828800" cy="1309370"/>
            <wp:effectExtent l="0" t="0" r="0" b="5080"/>
            <wp:docPr id="1" name="Image 1" descr="428395717_1114248756654257_7014137235814492140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428395717_1114248756654257_7014137235814492140_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35" cy="132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BEE">
        <w:rPr>
          <w:rFonts w:ascii="Arial Narrow" w:hAnsi="Arial Narrow"/>
          <w:sz w:val="40"/>
          <w:szCs w:val="40"/>
        </w:rPr>
        <w:t xml:space="preserve"> </w:t>
      </w:r>
      <w:bookmarkStart w:id="2" w:name="_GoBack"/>
      <w:bookmarkEnd w:id="2"/>
    </w:p>
    <w:p w:rsidR="00031ED5" w:rsidRDefault="00031ED5" w:rsidP="00031ED5">
      <w:pPr>
        <w:pStyle w:val="Part"/>
        <w:spacing w:before="0"/>
        <w:jc w:val="both"/>
        <w:outlineLvl w:val="1"/>
        <w:rPr>
          <w:rFonts w:ascii="Arial Narrow" w:hAnsi="Arial Narrow"/>
          <w:sz w:val="28"/>
          <w:szCs w:val="28"/>
        </w:rPr>
      </w:pPr>
      <w:r w:rsidRPr="00AD6BEE">
        <w:rPr>
          <w:rFonts w:ascii="Arial Narrow" w:hAnsi="Arial Narrow"/>
          <w:sz w:val="28"/>
          <w:szCs w:val="28"/>
        </w:rPr>
        <w:t>Avis d’Appel d’Offres Ouvert (AAOO)</w:t>
      </w:r>
      <w:bookmarkEnd w:id="0"/>
      <w:bookmarkEnd w:id="1"/>
    </w:p>
    <w:p w:rsidR="00031ED5" w:rsidRPr="00031ED5" w:rsidRDefault="00031ED5" w:rsidP="00031ED5"/>
    <w:p w:rsidR="00031ED5" w:rsidRPr="00B51BF7" w:rsidRDefault="00031ED5" w:rsidP="00031ED5">
      <w:pPr>
        <w:suppressAutoHyphens w:val="0"/>
        <w:overflowPunct/>
        <w:autoSpaceDE/>
        <w:autoSpaceDN/>
        <w:adjustRightInd/>
        <w:spacing w:after="120" w:line="276" w:lineRule="auto"/>
        <w:jc w:val="left"/>
        <w:textAlignment w:val="auto"/>
        <w:rPr>
          <w:rFonts w:ascii="Arial Narrow" w:eastAsia="Calibri" w:hAnsi="Arial Narrow" w:cs="Times New Roman"/>
          <w:b/>
          <w:bCs/>
          <w:iCs/>
          <w:lang w:eastAsia="en-US"/>
        </w:rPr>
      </w:pPr>
      <w:r w:rsidRPr="00B51BF7">
        <w:rPr>
          <w:rFonts w:ascii="Arial Narrow" w:eastAsia="Calibri" w:hAnsi="Arial Narrow" w:cs="Times New Roman"/>
          <w:b/>
          <w:bCs/>
          <w:iCs/>
          <w:u w:val="single"/>
          <w:lang w:eastAsia="en-US"/>
        </w:rPr>
        <w:t>Autorité contractante</w:t>
      </w:r>
      <w:r w:rsidRPr="00B51BF7">
        <w:rPr>
          <w:rFonts w:ascii="Arial Narrow" w:eastAsia="Calibri" w:hAnsi="Arial Narrow" w:cs="Times New Roman"/>
          <w:b/>
          <w:bCs/>
          <w:iCs/>
          <w:lang w:eastAsia="en-US"/>
        </w:rPr>
        <w:t xml:space="preserve"> : </w:t>
      </w:r>
      <w:r w:rsidRPr="00B51BF7">
        <w:rPr>
          <w:rFonts w:ascii="Arial Narrow" w:eastAsia="Calibri" w:hAnsi="Arial Narrow" w:cs="Times New Roman"/>
          <w:bCs/>
          <w:iCs/>
          <w:lang w:eastAsia="en-US"/>
        </w:rPr>
        <w:t>Direction Régionale de l’INPS de Koulikoro</w:t>
      </w:r>
    </w:p>
    <w:p w:rsidR="00031ED5" w:rsidRPr="00B51BF7" w:rsidRDefault="00031ED5" w:rsidP="00031ED5">
      <w:pPr>
        <w:suppressAutoHyphens w:val="0"/>
        <w:overflowPunct/>
        <w:autoSpaceDE/>
        <w:autoSpaceDN/>
        <w:adjustRightInd/>
        <w:spacing w:after="120" w:line="276" w:lineRule="auto"/>
        <w:jc w:val="left"/>
        <w:textAlignment w:val="auto"/>
        <w:rPr>
          <w:rFonts w:ascii="Arial Narrow" w:eastAsia="Calibri" w:hAnsi="Arial Narrow" w:cs="Times New Roman"/>
          <w:b/>
          <w:color w:val="2F5496"/>
          <w:u w:val="single"/>
          <w:lang w:eastAsia="en-US"/>
        </w:rPr>
      </w:pPr>
      <w:r w:rsidRPr="00B51BF7">
        <w:rPr>
          <w:rFonts w:ascii="Arial Narrow" w:eastAsia="Calibri" w:hAnsi="Arial Narrow" w:cs="Times New Roman"/>
          <w:b/>
          <w:u w:val="single"/>
          <w:lang w:eastAsia="en-US"/>
        </w:rPr>
        <w:t>AAOO N</w:t>
      </w:r>
      <w:r w:rsidRPr="00B51BF7">
        <w:rPr>
          <w:rFonts w:ascii="Arial Narrow" w:eastAsia="Calibri" w:hAnsi="Arial Narrow" w:cs="Times New Roman"/>
          <w:b/>
          <w:u w:val="single"/>
          <w:vertAlign w:val="superscript"/>
          <w:lang w:eastAsia="en-US"/>
        </w:rPr>
        <w:t>o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 : </w:t>
      </w:r>
      <w:r w:rsidRPr="00B51BF7">
        <w:rPr>
          <w:rFonts w:ascii="Arial Narrow" w:eastAsia="Calibri" w:hAnsi="Arial Narrow" w:cs="Times New Roman"/>
          <w:color w:val="2F5496"/>
          <w:u w:val="single"/>
          <w:lang w:eastAsia="en-US"/>
        </w:rPr>
        <w:t>2024-01/INPS – KKORO</w:t>
      </w:r>
    </w:p>
    <w:p w:rsidR="00031ED5" w:rsidRPr="00B51BF7" w:rsidRDefault="00031ED5" w:rsidP="00031ED5">
      <w:pPr>
        <w:suppressAutoHyphens w:val="0"/>
        <w:overflowPunct/>
        <w:autoSpaceDE/>
        <w:autoSpaceDN/>
        <w:adjustRightInd/>
        <w:spacing w:after="120" w:line="276" w:lineRule="auto"/>
        <w:jc w:val="left"/>
        <w:textAlignment w:val="auto"/>
        <w:rPr>
          <w:rFonts w:ascii="Arial Narrow" w:eastAsia="Calibri" w:hAnsi="Arial Narrow" w:cs="Times New Roman"/>
          <w:b/>
          <w:lang w:eastAsia="en-US"/>
        </w:rPr>
      </w:pPr>
      <w:r w:rsidRPr="00B51BF7">
        <w:rPr>
          <w:rFonts w:ascii="Arial Narrow" w:eastAsia="Calibri" w:hAnsi="Arial Narrow" w:cs="Times New Roman"/>
          <w:b/>
          <w:u w:val="single"/>
          <w:lang w:eastAsia="en-US"/>
        </w:rPr>
        <w:t>Source de Financement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 : </w:t>
      </w:r>
      <w:r w:rsidRPr="00B51BF7">
        <w:rPr>
          <w:rFonts w:ascii="Arial Narrow" w:eastAsia="Calibri" w:hAnsi="Arial Narrow" w:cs="Times New Roman"/>
          <w:lang w:eastAsia="en-US"/>
        </w:rPr>
        <w:t>Fonds propres de la Direction Régionale de l’INPS de Koulikoro-Exercice 2024</w:t>
      </w:r>
    </w:p>
    <w:p w:rsidR="00031ED5" w:rsidRPr="00B51BF7" w:rsidRDefault="00031ED5" w:rsidP="00031ED5">
      <w:pPr>
        <w:jc w:val="left"/>
        <w:rPr>
          <w:rFonts w:ascii="Arial" w:hAnsi="Arial"/>
        </w:rPr>
      </w:pPr>
      <w:r w:rsidRPr="00B51BF7">
        <w:rPr>
          <w:rFonts w:cs="Times New Roman"/>
        </w:rPr>
        <w:t xml:space="preserve">1.La Direction Régionale de l’Institut National de Prévoyance Sociale(INPS) de Koulikoro </w:t>
      </w:r>
      <w:r w:rsidRPr="00B51BF7">
        <w:rPr>
          <w:rFonts w:cs="Times New Roman"/>
          <w:iCs/>
        </w:rPr>
        <w:t>dispose des</w:t>
      </w:r>
      <w:r w:rsidRPr="00B51BF7">
        <w:rPr>
          <w:rFonts w:cs="Times New Roman"/>
          <w:i/>
          <w:iCs/>
        </w:rPr>
        <w:t xml:space="preserve"> </w:t>
      </w:r>
      <w:r w:rsidRPr="00B51BF7">
        <w:rPr>
          <w:rFonts w:cs="Times New Roman"/>
        </w:rPr>
        <w:t xml:space="preserve">fonds et a l’intention de l’utiliser pour effectuer des paiements au titre du marché relatif </w:t>
      </w:r>
      <w:r w:rsidRPr="00B51BF7">
        <w:rPr>
          <w:rFonts w:ascii="Arial" w:hAnsi="Arial"/>
        </w:rPr>
        <w:t>aux travaux d’extension, d’agencement et d’aménagement de la salle de conférence de l’INPS.</w:t>
      </w:r>
    </w:p>
    <w:p w:rsidR="00031ED5" w:rsidRPr="00B51BF7" w:rsidRDefault="00031ED5" w:rsidP="00031ED5">
      <w:pPr>
        <w:suppressAutoHyphens w:val="0"/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rFonts w:ascii="Arial Narrow" w:eastAsia="Calibri" w:hAnsi="Arial Narrow" w:cs="Times New Roman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>La passation du Marché sera conduite par Appel d’offres ouvert tel que défini dans le Code des Marchés publics à l’article 50</w:t>
      </w:r>
      <w:r w:rsidRPr="00B51BF7">
        <w:rPr>
          <w:rFonts w:ascii="Arial Narrow" w:eastAsia="Calibri" w:hAnsi="Arial Narrow" w:cs="Times New Roman"/>
          <w:b/>
          <w:i/>
          <w:iCs/>
          <w:lang w:eastAsia="en-US"/>
        </w:rPr>
        <w:t>,</w:t>
      </w:r>
      <w:r w:rsidRPr="00B51BF7">
        <w:rPr>
          <w:rFonts w:ascii="Arial Narrow" w:eastAsia="Calibri" w:hAnsi="Arial Narrow" w:cs="Times New Roman"/>
          <w:lang w:eastAsia="en-US"/>
        </w:rPr>
        <w:t xml:space="preserve"> et ouvert à tous les candidats éligibles. </w:t>
      </w:r>
    </w:p>
    <w:p w:rsidR="00031ED5" w:rsidRPr="00B51BF7" w:rsidRDefault="00031ED5" w:rsidP="00031ED5">
      <w:pPr>
        <w:numPr>
          <w:ilvl w:val="0"/>
          <w:numId w:val="1"/>
        </w:numPr>
        <w:tabs>
          <w:tab w:val="num" w:pos="284"/>
        </w:tabs>
        <w:suppressAutoHyphens w:val="0"/>
        <w:overflowPunct/>
        <w:autoSpaceDE/>
        <w:autoSpaceDN/>
        <w:adjustRightInd/>
        <w:spacing w:before="120" w:after="120" w:line="276" w:lineRule="auto"/>
        <w:ind w:left="284" w:hanging="284"/>
        <w:jc w:val="left"/>
        <w:textAlignment w:val="auto"/>
        <w:rPr>
          <w:rFonts w:ascii="Arial Narrow" w:eastAsia="Calibri" w:hAnsi="Arial Narrow" w:cs="Times New Roman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 xml:space="preserve">Les candidats intéressés peuvent obtenir des informations auprès de </w:t>
      </w:r>
      <w:r w:rsidRPr="00B51BF7">
        <w:rPr>
          <w:rFonts w:ascii="Arial Narrow" w:eastAsia="Calibri" w:hAnsi="Arial Narrow" w:cs="Times New Roman"/>
          <w:b/>
          <w:lang w:eastAsia="en-US"/>
        </w:rPr>
        <w:t>la Direction Régionale de l’INPS de Koulikoro, Quartier : Koulikoro Gare ; BP. : 2 Koulikoro-Mali ;</w:t>
      </w:r>
      <w:r w:rsidRPr="00B51BF7">
        <w:rPr>
          <w:rFonts w:ascii="Arial Narrow" w:eastAsia="Calibri" w:hAnsi="Arial Narrow" w:cs="Times New Roman"/>
          <w:lang w:eastAsia="en-US"/>
        </w:rPr>
        <w:t xml:space="preserve"> </w:t>
      </w:r>
      <w:r w:rsidRPr="00B51BF7">
        <w:rPr>
          <w:rFonts w:ascii="Arial Narrow" w:eastAsia="Calibri" w:hAnsi="Arial Narrow" w:cs="Times New Roman"/>
          <w:b/>
          <w:lang w:eastAsia="en-US"/>
        </w:rPr>
        <w:t>tous les jours ouvrables de 8h à 16 heure TU</w:t>
      </w:r>
      <w:r w:rsidRPr="00B51BF7">
        <w:rPr>
          <w:rFonts w:ascii="Arial Narrow" w:eastAsia="Calibri" w:hAnsi="Arial Narrow" w:cs="Times New Roman"/>
          <w:lang w:eastAsia="en-US"/>
        </w:rPr>
        <w:t>.</w:t>
      </w:r>
    </w:p>
    <w:p w:rsidR="00031ED5" w:rsidRPr="00B51BF7" w:rsidRDefault="00031ED5" w:rsidP="00031ED5">
      <w:pPr>
        <w:numPr>
          <w:ilvl w:val="0"/>
          <w:numId w:val="1"/>
        </w:numPr>
        <w:tabs>
          <w:tab w:val="num" w:pos="284"/>
        </w:tabs>
        <w:suppressAutoHyphens w:val="0"/>
        <w:overflowPunct/>
        <w:autoSpaceDE/>
        <w:autoSpaceDN/>
        <w:adjustRightInd/>
        <w:spacing w:before="120" w:after="120" w:line="276" w:lineRule="auto"/>
        <w:ind w:left="284" w:hanging="284"/>
        <w:jc w:val="left"/>
        <w:textAlignment w:val="auto"/>
        <w:rPr>
          <w:rFonts w:ascii="Arial Narrow" w:eastAsia="Calibri" w:hAnsi="Arial Narrow" w:cs="Times New Roman"/>
          <w:u w:val="single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 xml:space="preserve">Les exigences en matière de qualifications sont : </w:t>
      </w:r>
    </w:p>
    <w:p w:rsidR="00031ED5" w:rsidRPr="00B51BF7" w:rsidRDefault="00031ED5" w:rsidP="00031ED5">
      <w:pPr>
        <w:numPr>
          <w:ilvl w:val="0"/>
          <w:numId w:val="2"/>
        </w:numPr>
        <w:suppressAutoHyphens w:val="0"/>
        <w:overflowPunct/>
        <w:autoSpaceDE/>
        <w:autoSpaceDN/>
        <w:adjustRightInd/>
        <w:spacing w:before="120" w:after="160" w:line="276" w:lineRule="auto"/>
        <w:ind w:left="709"/>
        <w:jc w:val="left"/>
        <w:textAlignment w:val="auto"/>
        <w:rPr>
          <w:rFonts w:ascii="Arial Narrow" w:eastAsia="Calibri" w:hAnsi="Arial Narrow" w:cs="Times New Roman"/>
          <w:u w:val="single"/>
          <w:lang w:eastAsia="en-US"/>
        </w:rPr>
      </w:pPr>
      <w:r w:rsidRPr="00B51BF7">
        <w:rPr>
          <w:rFonts w:ascii="Arial Narrow" w:eastAsia="Calibri" w:hAnsi="Arial Narrow" w:cs="Times New Roman"/>
          <w:u w:val="single"/>
          <w:lang w:eastAsia="en-US"/>
        </w:rPr>
        <w:t>Capacité financière</w:t>
      </w:r>
    </w:p>
    <w:p w:rsidR="00031ED5" w:rsidRPr="00B51BF7" w:rsidRDefault="00031ED5" w:rsidP="00031ED5">
      <w:pPr>
        <w:suppressAutoHyphens w:val="0"/>
        <w:overflowPunct/>
        <w:autoSpaceDE/>
        <w:autoSpaceDN/>
        <w:adjustRightInd/>
        <w:spacing w:after="120" w:line="276" w:lineRule="auto"/>
        <w:ind w:left="284"/>
        <w:jc w:val="left"/>
        <w:textAlignment w:val="auto"/>
        <w:rPr>
          <w:rFonts w:ascii="Arial Narrow" w:eastAsia="Calibri" w:hAnsi="Arial Narrow" w:cs="Times New Roman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 xml:space="preserve">Les soumissionnaires doivent avoir réalisés </w:t>
      </w:r>
      <w:r>
        <w:rPr>
          <w:rFonts w:ascii="Arial Narrow" w:eastAsia="Calibri" w:hAnsi="Arial Narrow" w:cs="Times New Roman"/>
          <w:lang w:eastAsia="en-US"/>
        </w:rPr>
        <w:t xml:space="preserve">des travaux </w:t>
      </w:r>
      <w:r w:rsidRPr="00B51BF7">
        <w:rPr>
          <w:rFonts w:ascii="Arial Narrow" w:eastAsia="Calibri" w:hAnsi="Arial Narrow" w:cs="Times New Roman"/>
          <w:lang w:eastAsia="en-US"/>
        </w:rPr>
        <w:t>similaires au cours des trois derniers exercices (2021, 2022 et 2023) un chiffre d’affaires annuel moyen de :</w:t>
      </w:r>
      <w:r>
        <w:rPr>
          <w:rFonts w:ascii="Arial Narrow" w:eastAsia="Calibri" w:hAnsi="Arial Narrow" w:cs="Times New Roman"/>
          <w:b/>
          <w:lang w:eastAsia="en-US"/>
        </w:rPr>
        <w:t xml:space="preserve"> quatre 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cent millions </w:t>
      </w:r>
      <w:r>
        <w:rPr>
          <w:rFonts w:ascii="Arial Narrow" w:eastAsia="Calibri" w:hAnsi="Arial Narrow" w:cs="Times New Roman"/>
          <w:b/>
          <w:lang w:eastAsia="en-US"/>
        </w:rPr>
        <w:t>(4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00.000.000) franc CFA </w:t>
      </w:r>
      <w:r w:rsidRPr="00B51BF7">
        <w:rPr>
          <w:rFonts w:ascii="Arial Narrow" w:eastAsia="Calibri" w:hAnsi="Arial Narrow" w:cs="Times New Roman"/>
          <w:lang w:eastAsia="en-US"/>
        </w:rPr>
        <w:t>ou leurs montants équivalents en monnaie librement convertible.</w:t>
      </w:r>
    </w:p>
    <w:p w:rsidR="00031ED5" w:rsidRPr="00B51BF7" w:rsidRDefault="00031ED5" w:rsidP="00031ED5">
      <w:pPr>
        <w:numPr>
          <w:ilvl w:val="0"/>
          <w:numId w:val="2"/>
        </w:numPr>
        <w:tabs>
          <w:tab w:val="left" w:pos="851"/>
        </w:tabs>
        <w:suppressAutoHyphens w:val="0"/>
        <w:overflowPunct/>
        <w:autoSpaceDE/>
        <w:autoSpaceDN/>
        <w:adjustRightInd/>
        <w:spacing w:before="120" w:after="160" w:line="276" w:lineRule="auto"/>
        <w:ind w:left="709"/>
        <w:jc w:val="left"/>
        <w:textAlignment w:val="auto"/>
        <w:rPr>
          <w:rFonts w:ascii="Arial Narrow" w:eastAsia="Calibri" w:hAnsi="Arial Narrow" w:cs="Times New Roman"/>
          <w:u w:val="single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ab/>
      </w:r>
      <w:r w:rsidRPr="00B51BF7">
        <w:rPr>
          <w:rFonts w:ascii="Arial Narrow" w:eastAsia="Calibri" w:hAnsi="Arial Narrow" w:cs="Times New Roman"/>
          <w:u w:val="single"/>
          <w:lang w:eastAsia="en-US"/>
        </w:rPr>
        <w:t>Capacité technique et expérience</w:t>
      </w:r>
    </w:p>
    <w:p w:rsidR="00031ED5" w:rsidRPr="00B51BF7" w:rsidRDefault="00031ED5" w:rsidP="00031ED5">
      <w:pPr>
        <w:suppressAutoHyphens w:val="0"/>
        <w:overflowPunct/>
        <w:autoSpaceDE/>
        <w:autoSpaceDN/>
        <w:adjustRightInd/>
        <w:spacing w:before="120" w:after="120" w:line="276" w:lineRule="auto"/>
        <w:ind w:left="284"/>
        <w:jc w:val="left"/>
        <w:textAlignment w:val="auto"/>
        <w:rPr>
          <w:rFonts w:ascii="Arial Narrow" w:eastAsia="Calibri" w:hAnsi="Arial Narrow" w:cs="Times New Roman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>Les Soumissionnaires doivent prouver, documentat</w:t>
      </w:r>
      <w:r>
        <w:rPr>
          <w:rFonts w:ascii="Arial Narrow" w:eastAsia="Calibri" w:hAnsi="Arial Narrow" w:cs="Times New Roman"/>
          <w:lang w:eastAsia="en-US"/>
        </w:rPr>
        <w:t>ion à l’appui qu’ils satisfont</w:t>
      </w:r>
      <w:r w:rsidRPr="00B51BF7">
        <w:rPr>
          <w:rFonts w:ascii="Arial Narrow" w:eastAsia="Calibri" w:hAnsi="Arial Narrow" w:cs="Times New Roman"/>
          <w:lang w:eastAsia="en-US"/>
        </w:rPr>
        <w:t xml:space="preserve"> aux exigences de capacité technique ci-après : </w:t>
      </w:r>
    </w:p>
    <w:p w:rsidR="00031ED5" w:rsidRPr="00B51BF7" w:rsidRDefault="00031ED5" w:rsidP="00031ED5">
      <w:pPr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before="120" w:after="120" w:line="276" w:lineRule="auto"/>
        <w:ind w:left="709"/>
        <w:jc w:val="left"/>
        <w:textAlignment w:val="auto"/>
        <w:rPr>
          <w:rFonts w:ascii="Arial Narrow" w:eastAsia="Calibri" w:hAnsi="Arial Narrow" w:cs="Times New Roman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 xml:space="preserve">Expérience de marchés d’aménagement et/ou de construction à titre d’entrepreneur, de sous-traitant ou d’ensemblier au cours des </w:t>
      </w:r>
      <w:r w:rsidRPr="00B51BF7">
        <w:rPr>
          <w:rFonts w:ascii="Arial Narrow" w:eastAsia="Calibri" w:hAnsi="Arial Narrow" w:cs="Times New Roman"/>
          <w:b/>
          <w:lang w:eastAsia="en-US"/>
        </w:rPr>
        <w:t>trois (3)</w:t>
      </w:r>
      <w:r w:rsidRPr="00B51BF7">
        <w:rPr>
          <w:rFonts w:ascii="Arial Narrow" w:eastAsia="Calibri" w:hAnsi="Arial Narrow" w:cs="Times New Roman"/>
          <w:lang w:eastAsia="en-US"/>
        </w:rPr>
        <w:t xml:space="preserve"> </w:t>
      </w:r>
      <w:r w:rsidRPr="00B51BF7">
        <w:rPr>
          <w:rFonts w:ascii="Arial Narrow" w:eastAsia="Calibri" w:hAnsi="Arial Narrow" w:cs="Times New Roman"/>
          <w:b/>
          <w:bCs/>
          <w:lang w:eastAsia="en-US"/>
        </w:rPr>
        <w:t>dernières années</w:t>
      </w:r>
      <w:r w:rsidRPr="00B51BF7">
        <w:rPr>
          <w:rFonts w:ascii="Arial Narrow" w:eastAsia="Calibri" w:hAnsi="Arial Narrow" w:cs="Times New Roman"/>
          <w:lang w:eastAsia="en-US"/>
        </w:rPr>
        <w:t xml:space="preserve"> qui précèdent la date limite de dépôt des candidatures, </w:t>
      </w:r>
    </w:p>
    <w:p w:rsidR="00031ED5" w:rsidRPr="00B51BF7" w:rsidRDefault="00031ED5" w:rsidP="00031ED5">
      <w:pPr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rFonts w:ascii="Arial Narrow" w:eastAsia="Calibri" w:hAnsi="Arial Narrow" w:cs="Times New Roman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lastRenderedPageBreak/>
        <w:t xml:space="preserve">Participation à titre d’entrepreneur, ou de sous-traitant dans au moins 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un (1) marché </w:t>
      </w:r>
      <w:r w:rsidRPr="00B51BF7">
        <w:rPr>
          <w:rFonts w:ascii="Arial Narrow" w:eastAsia="Calibri" w:hAnsi="Arial Narrow" w:cs="Times New Roman"/>
          <w:lang w:eastAsia="en-US"/>
        </w:rPr>
        <w:t xml:space="preserve">au cours des 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trois (3) </w:t>
      </w:r>
      <w:r w:rsidRPr="00B51BF7">
        <w:rPr>
          <w:rFonts w:ascii="Arial Narrow" w:eastAsia="Calibri" w:hAnsi="Arial Narrow" w:cs="Times New Roman"/>
          <w:b/>
          <w:bCs/>
          <w:lang w:eastAsia="en-US"/>
        </w:rPr>
        <w:t>dernières années</w:t>
      </w:r>
      <w:r w:rsidRPr="00B51BF7">
        <w:rPr>
          <w:rFonts w:ascii="Arial Narrow" w:eastAsia="Calibri" w:hAnsi="Arial Narrow" w:cs="Times New Roman"/>
          <w:lang w:eastAsia="en-US"/>
        </w:rPr>
        <w:t xml:space="preserve"> avec </w:t>
      </w:r>
      <w:r w:rsidRPr="00B51BF7">
        <w:rPr>
          <w:rFonts w:ascii="Arial Narrow" w:eastAsia="Calibri" w:hAnsi="Arial Narrow" w:cs="Times New Roman"/>
          <w:b/>
          <w:lang w:eastAsia="en-US"/>
        </w:rPr>
        <w:t>une valeur minimum de</w:t>
      </w:r>
      <w:r w:rsidRPr="00B51BF7">
        <w:rPr>
          <w:rFonts w:ascii="Arial Narrow" w:eastAsia="Calibri" w:hAnsi="Arial Narrow" w:cs="Times New Roman"/>
          <w:lang w:eastAsia="en-US"/>
        </w:rPr>
        <w:t xml:space="preserve"> </w:t>
      </w:r>
      <w:r>
        <w:rPr>
          <w:rFonts w:ascii="Arial Narrow" w:eastAsia="Calibri" w:hAnsi="Arial Narrow" w:cs="Times New Roman"/>
          <w:b/>
          <w:lang w:eastAsia="en-US"/>
        </w:rPr>
        <w:t xml:space="preserve">Cent </w:t>
      </w:r>
      <w:r w:rsidRPr="00B51BF7">
        <w:rPr>
          <w:rFonts w:ascii="Arial Narrow" w:eastAsia="Calibri" w:hAnsi="Arial Narrow" w:cs="Times New Roman"/>
          <w:b/>
          <w:lang w:eastAsia="en-US"/>
        </w:rPr>
        <w:t>millions (</w:t>
      </w:r>
      <w:r>
        <w:rPr>
          <w:rFonts w:ascii="Arial Narrow" w:eastAsia="Calibri" w:hAnsi="Arial Narrow" w:cs="Times New Roman"/>
          <w:b/>
          <w:lang w:eastAsia="en-US"/>
        </w:rPr>
        <w:t>100.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000 000) francs CFA </w:t>
      </w:r>
      <w:r w:rsidRPr="00B51BF7">
        <w:rPr>
          <w:rFonts w:ascii="Arial Narrow" w:eastAsia="Calibri" w:hAnsi="Arial Narrow" w:cs="Times New Roman"/>
          <w:lang w:eastAsia="en-US"/>
        </w:rPr>
        <w:t>ou leurs montants équivalents en monnaie librement convertible,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 </w:t>
      </w:r>
      <w:r w:rsidRPr="00B51BF7">
        <w:rPr>
          <w:rFonts w:ascii="Arial Narrow" w:eastAsia="Calibri" w:hAnsi="Arial Narrow" w:cs="Times New Roman"/>
          <w:lang w:eastAsia="en-US"/>
        </w:rPr>
        <w:t>et qui ont été exécutés de manière satisfaisante et terminés, pour l’essentiel, et qui sont similaires aux travaux proposés.</w:t>
      </w:r>
    </w:p>
    <w:p w:rsidR="00031ED5" w:rsidRPr="00B51BF7" w:rsidRDefault="00031ED5" w:rsidP="00031ED5">
      <w:pPr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before="120" w:after="120" w:line="276" w:lineRule="auto"/>
        <w:ind w:left="709"/>
        <w:jc w:val="left"/>
        <w:textAlignment w:val="auto"/>
        <w:rPr>
          <w:rFonts w:ascii="Arial Narrow" w:eastAsia="Calibri" w:hAnsi="Arial Narrow" w:cs="Times New Roman"/>
          <w:bCs/>
          <w:lang w:eastAsia="en-US"/>
        </w:rPr>
      </w:pPr>
      <w:r w:rsidRPr="00B51BF7">
        <w:rPr>
          <w:rFonts w:ascii="Arial Narrow" w:eastAsia="Calibri" w:hAnsi="Arial Narrow" w:cs="Times New Roman"/>
          <w:bCs/>
          <w:lang w:eastAsia="en-US"/>
        </w:rPr>
        <w:t xml:space="preserve">Disponibilité d’un personnel clé qualifié composé de : </w:t>
      </w:r>
      <w:r>
        <w:rPr>
          <w:rFonts w:ascii="Arial Narrow" w:eastAsia="Calibri" w:hAnsi="Arial Narrow" w:cs="Times New Roman"/>
          <w:b/>
          <w:lang w:eastAsia="en-US"/>
        </w:rPr>
        <w:t xml:space="preserve"> Un</w:t>
      </w:r>
      <w:r>
        <w:rPr>
          <w:rFonts w:ascii="Arial Narrow" w:eastAsia="Calibri" w:hAnsi="Arial Narrow" w:cs="Times New Roman"/>
          <w:b/>
          <w:bCs/>
          <w:lang w:eastAsia="en-US"/>
        </w:rPr>
        <w:t xml:space="preserve"> (01</w:t>
      </w:r>
      <w:r w:rsidRPr="00B51BF7">
        <w:rPr>
          <w:rFonts w:ascii="Arial Narrow" w:eastAsia="Calibri" w:hAnsi="Arial Narrow" w:cs="Times New Roman"/>
          <w:b/>
          <w:bCs/>
          <w:lang w:eastAsia="en-US"/>
        </w:rPr>
        <w:t xml:space="preserve">) </w:t>
      </w:r>
      <w:r>
        <w:rPr>
          <w:rFonts w:ascii="Arial Narrow" w:eastAsia="Calibri" w:hAnsi="Arial Narrow" w:cs="Times New Roman"/>
          <w:b/>
          <w:bCs/>
          <w:lang w:eastAsia="en-US"/>
        </w:rPr>
        <w:t>Directeur des travaux, un (01) Chef</w:t>
      </w:r>
      <w:r w:rsidRPr="00B51BF7">
        <w:rPr>
          <w:rFonts w:ascii="Arial Narrow" w:eastAsia="Calibri" w:hAnsi="Arial Narrow" w:cs="Times New Roman"/>
          <w:b/>
          <w:bCs/>
          <w:lang w:eastAsia="en-US"/>
        </w:rPr>
        <w:t xml:space="preserve"> de chantier, </w:t>
      </w:r>
    </w:p>
    <w:p w:rsidR="00031ED5" w:rsidRPr="00B51BF7" w:rsidRDefault="00031ED5" w:rsidP="00031ED5">
      <w:pPr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before="120" w:after="120" w:line="276" w:lineRule="auto"/>
        <w:ind w:left="709"/>
        <w:jc w:val="left"/>
        <w:textAlignment w:val="auto"/>
        <w:rPr>
          <w:rFonts w:ascii="Arial Narrow" w:eastAsia="Calibri" w:hAnsi="Arial Narrow" w:cs="Times New Roman"/>
          <w:bCs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>Une marge de préférence ne sera pas octroyée aux soumissionnaires éligibles</w:t>
      </w:r>
      <w:r w:rsidRPr="00B51BF7">
        <w:rPr>
          <w:rFonts w:ascii="Arial Narrow" w:eastAsia="Calibri" w:hAnsi="Arial Narrow" w:cs="Times New Roman"/>
          <w:i/>
          <w:iCs/>
          <w:lang w:eastAsia="en-US"/>
        </w:rPr>
        <w:t xml:space="preserve">. </w:t>
      </w:r>
      <w:r w:rsidRPr="00B51BF7">
        <w:rPr>
          <w:rFonts w:ascii="Arial Narrow" w:eastAsia="Calibri" w:hAnsi="Arial Narrow" w:cs="Times New Roman"/>
          <w:lang w:eastAsia="en-US"/>
        </w:rPr>
        <w:t xml:space="preserve">Voir le DPAO pour les informations détaillées. </w:t>
      </w:r>
    </w:p>
    <w:p w:rsidR="00031ED5" w:rsidRPr="009210B6" w:rsidRDefault="00031ED5" w:rsidP="00031ED5">
      <w:pPr>
        <w:numPr>
          <w:ilvl w:val="0"/>
          <w:numId w:val="1"/>
        </w:numPr>
        <w:tabs>
          <w:tab w:val="num" w:pos="284"/>
        </w:tabs>
        <w:suppressAutoHyphens w:val="0"/>
        <w:overflowPunct/>
        <w:autoSpaceDE/>
        <w:autoSpaceDN/>
        <w:adjustRightInd/>
        <w:spacing w:before="120" w:after="120" w:line="276" w:lineRule="auto"/>
        <w:ind w:left="284" w:hanging="284"/>
        <w:jc w:val="left"/>
        <w:textAlignment w:val="auto"/>
        <w:rPr>
          <w:rFonts w:ascii="Arial Narrow" w:eastAsia="Calibri" w:hAnsi="Arial Narrow" w:cs="Times New Roman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>Les candidats intéressés peuvent consulter gratuitement le dossier d’Appel d’offres complet ou le retirer à titre onéreux contre paiement</w:t>
      </w:r>
      <w:r w:rsidRPr="00B51BF7">
        <w:rPr>
          <w:rFonts w:ascii="Arial Narrow" w:eastAsia="Calibri" w:hAnsi="Arial Narrow" w:cs="Times New Roman"/>
          <w:vertAlign w:val="superscript"/>
          <w:lang w:eastAsia="en-US"/>
        </w:rPr>
        <w:footnoteReference w:id="1"/>
      </w:r>
      <w:r w:rsidRPr="00B51BF7">
        <w:rPr>
          <w:rFonts w:ascii="Arial Narrow" w:eastAsia="Calibri" w:hAnsi="Arial Narrow" w:cs="Times New Roman"/>
          <w:lang w:eastAsia="en-US"/>
        </w:rPr>
        <w:t xml:space="preserve"> d’une somme non remboursable de </w:t>
      </w:r>
      <w:r w:rsidRPr="00B51BF7">
        <w:rPr>
          <w:rFonts w:ascii="Arial Narrow" w:eastAsia="Calibri" w:hAnsi="Arial Narrow" w:cs="Times New Roman"/>
          <w:b/>
          <w:iCs/>
          <w:lang w:eastAsia="en-US"/>
        </w:rPr>
        <w:t>vingt-cinq mille francs CFA (25 000) FCFA</w:t>
      </w:r>
      <w:r w:rsidRPr="00B51BF7">
        <w:rPr>
          <w:rFonts w:ascii="Arial Narrow" w:eastAsia="Calibri" w:hAnsi="Arial Narrow" w:cs="Times New Roman"/>
          <w:i/>
          <w:iCs/>
          <w:lang w:eastAsia="en-US"/>
        </w:rPr>
        <w:t xml:space="preserve"> </w:t>
      </w:r>
      <w:r w:rsidRPr="00B51BF7">
        <w:rPr>
          <w:rFonts w:ascii="Arial Narrow" w:eastAsia="Calibri" w:hAnsi="Arial Narrow" w:cs="Times New Roman"/>
          <w:lang w:eastAsia="en-US"/>
        </w:rPr>
        <w:t xml:space="preserve">à l’adresse mentionnée ci-après : 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Secrétariat de l’INPS  de </w:t>
      </w:r>
      <w:r>
        <w:rPr>
          <w:rFonts w:ascii="Arial Narrow" w:eastAsia="Calibri" w:hAnsi="Arial Narrow" w:cs="Times New Roman"/>
          <w:b/>
          <w:lang w:eastAsia="en-US"/>
        </w:rPr>
        <w:t>Koulikoro</w:t>
      </w:r>
      <w:r w:rsidRPr="00B51BF7">
        <w:rPr>
          <w:rFonts w:ascii="Arial Narrow" w:eastAsia="Calibri" w:hAnsi="Arial Narrow" w:cs="Times New Roman"/>
          <w:b/>
          <w:lang w:eastAsia="en-US"/>
        </w:rPr>
        <w:t>, tous les jours ouvrables de 8h00mn à 16h00mn TU</w:t>
      </w:r>
      <w:r w:rsidRPr="00B51BF7">
        <w:rPr>
          <w:rFonts w:ascii="Arial Narrow" w:eastAsia="Calibri" w:hAnsi="Arial Narrow" w:cs="Times New Roman"/>
          <w:i/>
          <w:iCs/>
          <w:lang w:eastAsia="en-US"/>
        </w:rPr>
        <w:t xml:space="preserve">. </w:t>
      </w:r>
      <w:r w:rsidRPr="00B51BF7">
        <w:rPr>
          <w:rFonts w:ascii="Arial Narrow" w:eastAsia="Calibri" w:hAnsi="Arial Narrow" w:cs="Times New Roman"/>
          <w:lang w:eastAsia="en-US"/>
        </w:rPr>
        <w:t xml:space="preserve">La méthode de paiement sera </w:t>
      </w:r>
      <w:r w:rsidRPr="00B51BF7">
        <w:rPr>
          <w:rFonts w:ascii="Arial Narrow" w:eastAsia="Calibri" w:hAnsi="Arial Narrow" w:cs="Times New Roman"/>
          <w:b/>
          <w:lang w:eastAsia="en-US"/>
        </w:rPr>
        <w:t>en espèces ou par chèque certifié</w:t>
      </w:r>
      <w:r w:rsidRPr="00B51BF7">
        <w:rPr>
          <w:rFonts w:ascii="Arial Narrow" w:eastAsia="Calibri" w:hAnsi="Arial Narrow" w:cs="Times New Roman"/>
          <w:i/>
          <w:iCs/>
          <w:lang w:eastAsia="en-US"/>
        </w:rPr>
        <w:t>.</w:t>
      </w:r>
    </w:p>
    <w:p w:rsidR="00031ED5" w:rsidRPr="00B51BF7" w:rsidRDefault="00031ED5" w:rsidP="00031ED5">
      <w:pPr>
        <w:numPr>
          <w:ilvl w:val="0"/>
          <w:numId w:val="1"/>
        </w:numPr>
        <w:tabs>
          <w:tab w:val="num" w:pos="284"/>
        </w:tabs>
        <w:suppressAutoHyphens w:val="0"/>
        <w:overflowPunct/>
        <w:autoSpaceDE/>
        <w:autoSpaceDN/>
        <w:adjustRightInd/>
        <w:spacing w:before="120" w:after="120" w:line="276" w:lineRule="auto"/>
        <w:ind w:left="284" w:hanging="284"/>
        <w:jc w:val="left"/>
        <w:textAlignment w:val="auto"/>
        <w:rPr>
          <w:rFonts w:ascii="Arial Narrow" w:eastAsia="Calibri" w:hAnsi="Arial Narrow" w:cs="Times New Roman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 xml:space="preserve"> Le Dossier d’Appel d’offres sera adressé par </w:t>
      </w:r>
      <w:r w:rsidRPr="00B51BF7">
        <w:rPr>
          <w:rFonts w:ascii="Arial Narrow" w:eastAsia="Calibri" w:hAnsi="Arial Narrow" w:cs="Times New Roman"/>
          <w:b/>
          <w:lang w:eastAsia="en-US"/>
        </w:rPr>
        <w:t>voie postale à un soumissionnaire étranger à ses frais</w:t>
      </w:r>
      <w:r w:rsidRPr="00B51BF7">
        <w:rPr>
          <w:rFonts w:ascii="Arial Narrow" w:eastAsia="Calibri" w:hAnsi="Arial Narrow" w:cs="Times New Roman"/>
          <w:i/>
          <w:iCs/>
          <w:lang w:eastAsia="en-US"/>
        </w:rPr>
        <w:t>.</w:t>
      </w:r>
    </w:p>
    <w:p w:rsidR="00031ED5" w:rsidRPr="00B51BF7" w:rsidRDefault="00031ED5" w:rsidP="00031ED5">
      <w:pPr>
        <w:numPr>
          <w:ilvl w:val="0"/>
          <w:numId w:val="1"/>
        </w:numPr>
        <w:tabs>
          <w:tab w:val="num" w:pos="284"/>
        </w:tabs>
        <w:suppressAutoHyphens w:val="0"/>
        <w:overflowPunct/>
        <w:autoSpaceDE/>
        <w:autoSpaceDN/>
        <w:adjustRightInd/>
        <w:spacing w:before="120" w:after="120" w:line="276" w:lineRule="auto"/>
        <w:ind w:left="284" w:hanging="284"/>
        <w:jc w:val="left"/>
        <w:textAlignment w:val="auto"/>
        <w:rPr>
          <w:rFonts w:ascii="Arial Narrow" w:eastAsia="Calibri" w:hAnsi="Arial Narrow" w:cs="Times New Roman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 xml:space="preserve">Les offres devront être soumises à l’adresse ci-après : 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Secrétariat de l’INPS de Koulikoro </w:t>
      </w:r>
      <w:r w:rsidRPr="00B51BF7">
        <w:rPr>
          <w:rFonts w:ascii="Arial Narrow" w:eastAsia="Calibri" w:hAnsi="Arial Narrow" w:cs="Times New Roman"/>
          <w:lang w:eastAsia="en-US"/>
        </w:rPr>
        <w:t xml:space="preserve">au plus tard le </w:t>
      </w:r>
      <w:r w:rsidRPr="00B51BF7">
        <w:rPr>
          <w:rFonts w:ascii="Arial Narrow" w:eastAsia="Calibri" w:hAnsi="Arial Narrow" w:cs="Times New Roman"/>
          <w:b/>
          <w:highlight w:val="yellow"/>
          <w:lang w:eastAsia="en-US"/>
        </w:rPr>
        <w:t>…. / … / 202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4 </w:t>
      </w:r>
      <w:r w:rsidRPr="00B51BF7">
        <w:rPr>
          <w:rFonts w:ascii="Arial Narrow" w:eastAsia="Calibri" w:hAnsi="Arial Narrow" w:cs="Times New Roman"/>
          <w:iCs/>
          <w:lang w:eastAsia="en-US"/>
        </w:rPr>
        <w:t xml:space="preserve">à </w:t>
      </w:r>
      <w:r w:rsidRPr="00B51BF7">
        <w:rPr>
          <w:rFonts w:ascii="Arial Narrow" w:eastAsia="Calibri" w:hAnsi="Arial Narrow" w:cs="Times New Roman"/>
          <w:b/>
          <w:iCs/>
          <w:lang w:eastAsia="en-US"/>
        </w:rPr>
        <w:t>10 Heures 00 mn TU</w:t>
      </w:r>
      <w:r w:rsidRPr="00B51BF7">
        <w:rPr>
          <w:rFonts w:ascii="Arial Narrow" w:eastAsia="Calibri" w:hAnsi="Arial Narrow" w:cs="Times New Roman"/>
          <w:lang w:eastAsia="en-US"/>
        </w:rPr>
        <w:t>. Les offres qui ne parviendront pas aux heures et date ci-dessus, indiquées, seront purement et simplement rejetées et retournées sans être ouvertes.</w:t>
      </w:r>
    </w:p>
    <w:p w:rsidR="00031ED5" w:rsidRPr="00B51BF7" w:rsidRDefault="00031ED5" w:rsidP="00031ED5">
      <w:pPr>
        <w:numPr>
          <w:ilvl w:val="0"/>
          <w:numId w:val="1"/>
        </w:numPr>
        <w:tabs>
          <w:tab w:val="num" w:pos="284"/>
        </w:tabs>
        <w:suppressAutoHyphens w:val="0"/>
        <w:overflowPunct/>
        <w:autoSpaceDE/>
        <w:autoSpaceDN/>
        <w:adjustRightInd/>
        <w:spacing w:before="120" w:after="120" w:line="276" w:lineRule="auto"/>
        <w:ind w:left="284" w:hanging="284"/>
        <w:jc w:val="left"/>
        <w:textAlignment w:val="auto"/>
        <w:rPr>
          <w:rFonts w:ascii="Arial Narrow" w:eastAsia="Calibri" w:hAnsi="Arial Narrow" w:cs="Times New Roman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 xml:space="preserve">Les offres doivent comprendre </w:t>
      </w:r>
      <w:r w:rsidRPr="00B51BF7">
        <w:rPr>
          <w:rFonts w:ascii="Arial Narrow" w:eastAsia="Calibri" w:hAnsi="Arial Narrow" w:cs="Times New Roman"/>
          <w:iCs/>
          <w:lang w:eastAsia="en-US"/>
        </w:rPr>
        <w:t>une garantie de soumission</w:t>
      </w:r>
      <w:r w:rsidRPr="00B51BF7">
        <w:rPr>
          <w:rFonts w:ascii="Arial Narrow" w:eastAsia="Calibri" w:hAnsi="Arial Narrow" w:cs="Times New Roman"/>
          <w:lang w:eastAsia="en-US"/>
        </w:rPr>
        <w:t xml:space="preserve">, d’un montant de </w:t>
      </w:r>
      <w:r w:rsidRPr="00B51BF7">
        <w:rPr>
          <w:rFonts w:ascii="Arial Narrow" w:eastAsia="Calibri" w:hAnsi="Arial Narrow" w:cs="Times New Roman"/>
          <w:b/>
          <w:lang w:eastAsia="en-US"/>
        </w:rPr>
        <w:t>Cinq</w:t>
      </w:r>
      <w:r>
        <w:rPr>
          <w:rFonts w:ascii="Arial Narrow" w:eastAsia="Calibri" w:hAnsi="Arial Narrow" w:cs="Times New Roman"/>
          <w:b/>
          <w:lang w:eastAsia="en-US"/>
        </w:rPr>
        <w:t xml:space="preserve"> millions </w:t>
      </w:r>
      <w:r w:rsidRPr="00B51BF7">
        <w:rPr>
          <w:rFonts w:ascii="Arial Narrow" w:eastAsia="Calibri" w:hAnsi="Arial Narrow" w:cs="Times New Roman"/>
          <w:b/>
          <w:lang w:eastAsia="en-US"/>
        </w:rPr>
        <w:t>(5</w:t>
      </w:r>
      <w:r>
        <w:rPr>
          <w:rFonts w:ascii="Arial Narrow" w:eastAsia="Calibri" w:hAnsi="Arial Narrow" w:cs="Times New Roman"/>
          <w:b/>
          <w:lang w:eastAsia="en-US"/>
        </w:rPr>
        <w:t xml:space="preserve"> 000 000</w:t>
      </w:r>
      <w:r w:rsidRPr="00B51BF7">
        <w:rPr>
          <w:rFonts w:ascii="Arial Narrow" w:eastAsia="Calibri" w:hAnsi="Arial Narrow" w:cs="Times New Roman"/>
          <w:b/>
          <w:lang w:eastAsia="en-US"/>
        </w:rPr>
        <w:t>) francs CFA</w:t>
      </w:r>
      <w:r w:rsidRPr="00B51BF7">
        <w:rPr>
          <w:rFonts w:ascii="Arial Narrow" w:eastAsia="Calibri" w:hAnsi="Arial Narrow" w:cs="Times New Roman"/>
          <w:iCs/>
          <w:lang w:eastAsia="en-US"/>
        </w:rPr>
        <w:t>, ou le montant équivalent dans une monnaie librement convertible</w:t>
      </w:r>
      <w:r w:rsidRPr="00B51BF7">
        <w:rPr>
          <w:rFonts w:ascii="Arial Narrow" w:eastAsia="Calibri" w:hAnsi="Arial Narrow" w:cs="Times New Roman"/>
          <w:i/>
          <w:iCs/>
          <w:lang w:eastAsia="en-US"/>
        </w:rPr>
        <w:t xml:space="preserve">. </w:t>
      </w:r>
      <w:r w:rsidRPr="00B51BF7">
        <w:rPr>
          <w:rFonts w:ascii="Arial Narrow" w:eastAsia="Calibri" w:hAnsi="Arial Narrow" w:cs="Times New Roman"/>
          <w:lang w:eastAsia="en-US"/>
        </w:rPr>
        <w:t>Le montant de la garantie de soumission est déterminé conformément à l’article 69 du Code des marchés publics.</w:t>
      </w:r>
    </w:p>
    <w:p w:rsidR="00031ED5" w:rsidRPr="00B51BF7" w:rsidRDefault="00031ED5" w:rsidP="00031ED5">
      <w:pPr>
        <w:numPr>
          <w:ilvl w:val="0"/>
          <w:numId w:val="1"/>
        </w:numPr>
        <w:tabs>
          <w:tab w:val="num" w:pos="284"/>
        </w:tabs>
        <w:suppressAutoHyphens w:val="0"/>
        <w:overflowPunct/>
        <w:autoSpaceDE/>
        <w:autoSpaceDN/>
        <w:adjustRightInd/>
        <w:spacing w:before="120" w:after="120" w:line="276" w:lineRule="auto"/>
        <w:ind w:left="284" w:hanging="284"/>
        <w:jc w:val="left"/>
        <w:textAlignment w:val="auto"/>
        <w:rPr>
          <w:rFonts w:ascii="Arial Narrow" w:eastAsia="Calibri" w:hAnsi="Arial Narrow" w:cs="Times New Roman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>Les Soumissionnaires</w:t>
      </w:r>
      <w:r w:rsidRPr="00B51BF7" w:rsidDel="00E43AEC">
        <w:rPr>
          <w:rFonts w:ascii="Arial Narrow" w:eastAsia="Calibri" w:hAnsi="Arial Narrow" w:cs="Times New Roman"/>
          <w:lang w:eastAsia="en-US"/>
        </w:rPr>
        <w:t xml:space="preserve"> </w:t>
      </w:r>
      <w:r w:rsidRPr="00B51BF7">
        <w:rPr>
          <w:rFonts w:ascii="Arial Narrow" w:eastAsia="Calibri" w:hAnsi="Arial Narrow" w:cs="Times New Roman"/>
          <w:lang w:eastAsia="en-US"/>
        </w:rPr>
        <w:t xml:space="preserve">resteront engagés par leur offre pendant une période de </w:t>
      </w:r>
      <w:r w:rsidRPr="00B51BF7">
        <w:rPr>
          <w:rFonts w:ascii="Arial Narrow" w:eastAsia="Calibri" w:hAnsi="Arial Narrow" w:cs="Times New Roman"/>
          <w:b/>
          <w:lang w:eastAsia="en-US"/>
        </w:rPr>
        <w:t>Quatre-vingt-dix (90) jours</w:t>
      </w:r>
      <w:r w:rsidRPr="00B51BF7">
        <w:rPr>
          <w:rFonts w:ascii="Arial Narrow" w:eastAsia="Calibri" w:hAnsi="Arial Narrow" w:cs="Times New Roman"/>
          <w:i/>
          <w:iCs/>
          <w:lang w:eastAsia="en-US"/>
        </w:rPr>
        <w:t xml:space="preserve"> </w:t>
      </w:r>
      <w:r w:rsidRPr="00B51BF7">
        <w:rPr>
          <w:rFonts w:ascii="Arial Narrow" w:eastAsia="Calibri" w:hAnsi="Arial Narrow" w:cs="Times New Roman"/>
          <w:lang w:eastAsia="en-US"/>
        </w:rPr>
        <w:t>à compter de la date limite du dépôt des offres comme spécifiées au point 19.1 des IC et au DPAO.</w:t>
      </w:r>
    </w:p>
    <w:p w:rsidR="00031ED5" w:rsidRPr="00B51BF7" w:rsidRDefault="00031ED5" w:rsidP="00031ED5">
      <w:pPr>
        <w:numPr>
          <w:ilvl w:val="0"/>
          <w:numId w:val="1"/>
        </w:numPr>
        <w:tabs>
          <w:tab w:val="num" w:pos="284"/>
        </w:tabs>
        <w:suppressAutoHyphens w:val="0"/>
        <w:overflowPunct/>
        <w:autoSpaceDE/>
        <w:autoSpaceDN/>
        <w:adjustRightInd/>
        <w:spacing w:before="120" w:after="120" w:line="276" w:lineRule="auto"/>
        <w:ind w:left="284" w:hanging="284"/>
        <w:jc w:val="left"/>
        <w:textAlignment w:val="auto"/>
        <w:rPr>
          <w:rFonts w:ascii="Arial Narrow" w:eastAsia="Calibri" w:hAnsi="Arial Narrow" w:cs="Times New Roman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>Les offres seront ouvertes en présence des représentants des soumissionnaires qui souhaitent assister à l’ouverture des plis le…</w:t>
      </w:r>
      <w:r w:rsidRPr="00B51BF7">
        <w:rPr>
          <w:rFonts w:ascii="Arial Narrow" w:eastAsia="Calibri" w:hAnsi="Arial Narrow" w:cs="Times New Roman"/>
          <w:b/>
          <w:highlight w:val="yellow"/>
          <w:lang w:eastAsia="en-US"/>
        </w:rPr>
        <w:t xml:space="preserve"> / … / 202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4 </w:t>
      </w:r>
      <w:r w:rsidRPr="00B51BF7">
        <w:rPr>
          <w:rFonts w:ascii="Arial Narrow" w:eastAsia="Calibri" w:hAnsi="Arial Narrow" w:cs="Times New Roman"/>
          <w:iCs/>
          <w:lang w:eastAsia="en-US"/>
        </w:rPr>
        <w:t xml:space="preserve">à </w:t>
      </w:r>
      <w:r w:rsidRPr="00B51BF7">
        <w:rPr>
          <w:rFonts w:ascii="Arial Narrow" w:eastAsia="Calibri" w:hAnsi="Arial Narrow" w:cs="Times New Roman"/>
          <w:b/>
          <w:iCs/>
          <w:lang w:eastAsia="en-US"/>
        </w:rPr>
        <w:t>10 Heures 00 mn TU</w:t>
      </w:r>
      <w:r w:rsidRPr="00B51BF7">
        <w:rPr>
          <w:rFonts w:ascii="Arial Narrow" w:eastAsia="Calibri" w:hAnsi="Arial Narrow" w:cs="Times New Roman"/>
          <w:lang w:eastAsia="en-US"/>
        </w:rPr>
        <w:t xml:space="preserve"> à l’adresse suivante : 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Salle de réunion de </w:t>
      </w:r>
      <w:proofErr w:type="gramStart"/>
      <w:r w:rsidRPr="00B51BF7">
        <w:rPr>
          <w:rFonts w:ascii="Arial Narrow" w:eastAsia="Calibri" w:hAnsi="Arial Narrow" w:cs="Times New Roman"/>
          <w:b/>
          <w:lang w:eastAsia="en-US"/>
        </w:rPr>
        <w:t>l’INPS  de</w:t>
      </w:r>
      <w:proofErr w:type="gramEnd"/>
      <w:r w:rsidRPr="00B51BF7">
        <w:rPr>
          <w:rFonts w:ascii="Arial Narrow" w:eastAsia="Calibri" w:hAnsi="Arial Narrow" w:cs="Times New Roman"/>
          <w:b/>
          <w:lang w:eastAsia="en-US"/>
        </w:rPr>
        <w:t xml:space="preserve"> Koulikoro.</w:t>
      </w:r>
    </w:p>
    <w:p w:rsidR="00031ED5" w:rsidRPr="00B51BF7" w:rsidRDefault="00031ED5" w:rsidP="00031ED5">
      <w:pPr>
        <w:suppressAutoHyphens w:val="0"/>
        <w:overflowPunct/>
        <w:autoSpaceDE/>
        <w:autoSpaceDN/>
        <w:adjustRightInd/>
        <w:spacing w:before="120" w:after="120" w:line="276" w:lineRule="auto"/>
        <w:ind w:left="284"/>
        <w:jc w:val="left"/>
        <w:textAlignment w:val="auto"/>
        <w:rPr>
          <w:rFonts w:ascii="Arial Narrow" w:eastAsia="Calibri" w:hAnsi="Arial Narrow" w:cs="Times New Roman"/>
          <w:lang w:eastAsia="en-US"/>
        </w:rPr>
      </w:pPr>
    </w:p>
    <w:p w:rsidR="00031ED5" w:rsidRPr="00B51BF7" w:rsidRDefault="00031ED5" w:rsidP="00031ED5">
      <w:pPr>
        <w:suppressAutoHyphens w:val="0"/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rFonts w:ascii="Arial Narrow" w:eastAsia="Calibri" w:hAnsi="Arial Narrow" w:cs="Times New Roman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 xml:space="preserve">                                                                                                            </w:t>
      </w:r>
      <w:r>
        <w:rPr>
          <w:rFonts w:ascii="Arial Narrow" w:eastAsia="Calibri" w:hAnsi="Arial Narrow" w:cs="Times New Roman"/>
          <w:lang w:eastAsia="en-US"/>
        </w:rPr>
        <w:t xml:space="preserve">     </w:t>
      </w:r>
      <w:r w:rsidRPr="00B51BF7">
        <w:rPr>
          <w:rFonts w:ascii="Arial Narrow" w:eastAsia="Calibri" w:hAnsi="Arial Narrow" w:cs="Times New Roman"/>
          <w:lang w:eastAsia="en-US"/>
        </w:rPr>
        <w:t xml:space="preserve">       Koulikoro, </w:t>
      </w:r>
      <w:r w:rsidRPr="00B51BF7">
        <w:rPr>
          <w:rFonts w:ascii="Arial Narrow" w:eastAsia="Calibri" w:hAnsi="Arial Narrow" w:cs="Times New Roman"/>
          <w:highlight w:val="yellow"/>
          <w:lang w:eastAsia="en-US"/>
        </w:rPr>
        <w:t>le</w:t>
      </w:r>
      <w:proofErr w:type="gramStart"/>
      <w:r w:rsidRPr="00B51BF7">
        <w:rPr>
          <w:rFonts w:ascii="Arial Narrow" w:eastAsia="Calibri" w:hAnsi="Arial Narrow" w:cs="Times New Roman"/>
          <w:highlight w:val="yellow"/>
          <w:lang w:eastAsia="en-US"/>
        </w:rPr>
        <w:t xml:space="preserve"> </w:t>
      </w:r>
      <w:r w:rsidRPr="00B51BF7">
        <w:rPr>
          <w:rFonts w:ascii="Arial Narrow" w:eastAsia="Calibri" w:hAnsi="Arial Narrow" w:cs="Times New Roman"/>
          <w:b/>
          <w:bCs/>
          <w:highlight w:val="yellow"/>
          <w:lang w:eastAsia="en-US"/>
        </w:rPr>
        <w:t>..</w:t>
      </w:r>
      <w:proofErr w:type="gramEnd"/>
      <w:r w:rsidRPr="00B51BF7">
        <w:rPr>
          <w:rFonts w:ascii="Arial Narrow" w:eastAsia="Calibri" w:hAnsi="Arial Narrow" w:cs="Times New Roman"/>
          <w:b/>
          <w:bCs/>
          <w:highlight w:val="yellow"/>
          <w:lang w:eastAsia="en-US"/>
        </w:rPr>
        <w:t xml:space="preserve"> / .. / 202</w:t>
      </w:r>
      <w:r w:rsidRPr="00B51BF7">
        <w:rPr>
          <w:rFonts w:ascii="Arial Narrow" w:eastAsia="Calibri" w:hAnsi="Arial Narrow" w:cs="Times New Roman"/>
          <w:b/>
          <w:bCs/>
          <w:lang w:eastAsia="en-US"/>
        </w:rPr>
        <w:t>4</w:t>
      </w:r>
    </w:p>
    <w:p w:rsidR="00031ED5" w:rsidRPr="00B51BF7" w:rsidRDefault="00031ED5" w:rsidP="00031ED5">
      <w:pPr>
        <w:suppressAutoHyphens w:val="0"/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rFonts w:ascii="Arial Narrow" w:eastAsia="Calibri" w:hAnsi="Arial Narrow" w:cs="Times New Roman"/>
          <w:b/>
          <w:u w:val="single"/>
          <w:lang w:eastAsia="en-US"/>
        </w:rPr>
      </w:pPr>
      <w:r w:rsidRPr="00B51BF7">
        <w:rPr>
          <w:rFonts w:ascii="Arial Narrow" w:eastAsia="Calibri" w:hAnsi="Arial Narrow" w:cs="Times New Roman"/>
          <w:lang w:eastAsia="en-US"/>
        </w:rPr>
        <w:t xml:space="preserve">                                                                                                               </w:t>
      </w:r>
      <w:r>
        <w:rPr>
          <w:rFonts w:ascii="Arial Narrow" w:eastAsia="Calibri" w:hAnsi="Arial Narrow" w:cs="Times New Roman"/>
          <w:lang w:eastAsia="en-US"/>
        </w:rPr>
        <w:t xml:space="preserve">          </w:t>
      </w:r>
      <w:r w:rsidRPr="00B51BF7">
        <w:rPr>
          <w:rFonts w:ascii="Arial Narrow" w:eastAsia="Calibri" w:hAnsi="Arial Narrow" w:cs="Times New Roman"/>
          <w:lang w:eastAsia="en-US"/>
        </w:rPr>
        <w:t xml:space="preserve">  </w:t>
      </w:r>
      <w:r w:rsidRPr="00B51BF7">
        <w:rPr>
          <w:rFonts w:ascii="Arial Narrow" w:eastAsia="Calibri" w:hAnsi="Arial Narrow" w:cs="Times New Roman"/>
          <w:b/>
          <w:u w:val="single"/>
          <w:lang w:eastAsia="en-US"/>
        </w:rPr>
        <w:t>Le Directeur Régional</w:t>
      </w:r>
    </w:p>
    <w:p w:rsidR="00031ED5" w:rsidRPr="00B51BF7" w:rsidRDefault="00031ED5" w:rsidP="00031ED5">
      <w:pPr>
        <w:suppressAutoHyphens w:val="0"/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rFonts w:ascii="Arial Narrow" w:eastAsia="Calibri" w:hAnsi="Arial Narrow" w:cs="Times New Roman"/>
          <w:b/>
          <w:lang w:eastAsia="en-US"/>
        </w:rPr>
      </w:pPr>
      <w:r w:rsidRPr="00B51BF7">
        <w:rPr>
          <w:rFonts w:ascii="Arial Narrow" w:eastAsia="Calibri" w:hAnsi="Arial Narrow" w:cs="Times New Roman"/>
          <w:b/>
          <w:lang w:eastAsia="en-US"/>
        </w:rPr>
        <w:t xml:space="preserve">                                                                                   </w:t>
      </w:r>
    </w:p>
    <w:p w:rsidR="00031ED5" w:rsidRPr="00B51BF7" w:rsidRDefault="00031ED5" w:rsidP="00031ED5">
      <w:pPr>
        <w:suppressAutoHyphens w:val="0"/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rFonts w:ascii="Arial Narrow" w:eastAsia="Calibri" w:hAnsi="Arial Narrow" w:cs="Times New Roman"/>
          <w:b/>
          <w:lang w:eastAsia="en-US"/>
        </w:rPr>
      </w:pPr>
    </w:p>
    <w:p w:rsidR="00031ED5" w:rsidRPr="00B51BF7" w:rsidRDefault="00031ED5" w:rsidP="00031ED5">
      <w:pPr>
        <w:suppressAutoHyphens w:val="0"/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rFonts w:ascii="Arial Narrow" w:eastAsia="Calibri" w:hAnsi="Arial Narrow" w:cs="Times New Roman"/>
          <w:b/>
          <w:lang w:eastAsia="en-US"/>
        </w:rPr>
      </w:pPr>
    </w:p>
    <w:p w:rsidR="00031ED5" w:rsidRPr="00B51BF7" w:rsidRDefault="00031ED5" w:rsidP="00031ED5">
      <w:pPr>
        <w:suppressAutoHyphens w:val="0"/>
        <w:overflowPunct/>
        <w:autoSpaceDE/>
        <w:autoSpaceDN/>
        <w:adjustRightInd/>
        <w:spacing w:before="120" w:after="120" w:line="276" w:lineRule="auto"/>
        <w:jc w:val="left"/>
        <w:textAlignment w:val="auto"/>
        <w:rPr>
          <w:rFonts w:ascii="Arial Narrow" w:eastAsia="Calibri" w:hAnsi="Arial Narrow" w:cs="Times New Roman"/>
          <w:spacing w:val="4"/>
          <w:w w:val="103"/>
          <w:kern w:val="14"/>
          <w:lang w:eastAsia="en-US"/>
        </w:rPr>
      </w:pPr>
      <w:r w:rsidRPr="00B51BF7">
        <w:rPr>
          <w:rFonts w:ascii="Arial Narrow" w:eastAsia="Calibri" w:hAnsi="Arial Narrow" w:cs="Times New Roman"/>
          <w:b/>
          <w:lang w:eastAsia="en-US"/>
        </w:rPr>
        <w:t xml:space="preserve">                                                                                        </w:t>
      </w:r>
      <w:r>
        <w:rPr>
          <w:rFonts w:ascii="Arial Narrow" w:eastAsia="Calibri" w:hAnsi="Arial Narrow" w:cs="Times New Roman"/>
          <w:b/>
          <w:lang w:eastAsia="en-US"/>
        </w:rPr>
        <w:t xml:space="preserve">                      </w:t>
      </w:r>
      <w:r>
        <w:rPr>
          <w:rFonts w:ascii="Arial Narrow" w:eastAsia="Calibri" w:hAnsi="Arial Narrow" w:cs="Times New Roman"/>
          <w:b/>
          <w:lang w:eastAsia="en-US"/>
        </w:rPr>
        <w:t xml:space="preserve">       </w:t>
      </w:r>
      <w:r w:rsidRPr="00B51BF7">
        <w:rPr>
          <w:rFonts w:ascii="Arial Narrow" w:eastAsia="Calibri" w:hAnsi="Arial Narrow" w:cs="Times New Roman"/>
          <w:b/>
          <w:lang w:eastAsia="en-US"/>
        </w:rPr>
        <w:t xml:space="preserve">    </w:t>
      </w:r>
      <w:proofErr w:type="spellStart"/>
      <w:r>
        <w:rPr>
          <w:rFonts w:ascii="Arial Narrow" w:eastAsia="Calibri" w:hAnsi="Arial Narrow" w:cs="Times New Roman"/>
          <w:b/>
          <w:u w:val="single"/>
          <w:lang w:eastAsia="en-US"/>
        </w:rPr>
        <w:t>Hamadoun</w:t>
      </w:r>
      <w:proofErr w:type="spellEnd"/>
      <w:r>
        <w:rPr>
          <w:rFonts w:ascii="Arial Narrow" w:eastAsia="Calibri" w:hAnsi="Arial Narrow" w:cs="Times New Roman"/>
          <w:b/>
          <w:u w:val="single"/>
          <w:lang w:eastAsia="en-US"/>
        </w:rPr>
        <w:t xml:space="preserve"> </w:t>
      </w:r>
      <w:r w:rsidRPr="00B51BF7">
        <w:rPr>
          <w:rFonts w:ascii="Arial Narrow" w:eastAsia="Calibri" w:hAnsi="Arial Narrow" w:cs="Times New Roman"/>
          <w:b/>
          <w:u w:val="single"/>
          <w:lang w:eastAsia="en-US"/>
        </w:rPr>
        <w:t xml:space="preserve">Baba TOURE </w:t>
      </w:r>
    </w:p>
    <w:p w:rsidR="00031ED5" w:rsidRPr="00AD6BEE" w:rsidRDefault="00031ED5" w:rsidP="00031ED5">
      <w:pPr>
        <w:ind w:left="720"/>
        <w:rPr>
          <w:rFonts w:ascii="Arial Narrow" w:hAnsi="Arial Narrow"/>
          <w:i/>
          <w:sz w:val="18"/>
          <w:szCs w:val="22"/>
        </w:rPr>
      </w:pPr>
      <w:r w:rsidRPr="00AD6BEE">
        <w:rPr>
          <w:rFonts w:ascii="Arial Narrow" w:hAnsi="Arial Narrow"/>
          <w:i/>
          <w:sz w:val="20"/>
          <w:szCs w:val="22"/>
        </w:rPr>
        <w:tab/>
      </w:r>
      <w:r w:rsidRPr="00AD6BEE">
        <w:rPr>
          <w:rFonts w:ascii="Arial Narrow" w:hAnsi="Arial Narrow"/>
          <w:i/>
          <w:sz w:val="20"/>
          <w:szCs w:val="22"/>
        </w:rPr>
        <w:tab/>
      </w:r>
      <w:r w:rsidRPr="00AD6BEE">
        <w:rPr>
          <w:rFonts w:ascii="Arial Narrow" w:hAnsi="Arial Narrow"/>
          <w:i/>
          <w:sz w:val="20"/>
          <w:szCs w:val="22"/>
        </w:rPr>
        <w:tab/>
      </w:r>
      <w:r w:rsidRPr="00AD6BEE">
        <w:rPr>
          <w:rFonts w:ascii="Arial Narrow" w:hAnsi="Arial Narrow"/>
          <w:i/>
          <w:sz w:val="20"/>
          <w:szCs w:val="22"/>
        </w:rPr>
        <w:tab/>
      </w:r>
    </w:p>
    <w:p w:rsidR="00031ED5" w:rsidRPr="00AD6BEE" w:rsidRDefault="00031ED5" w:rsidP="00031ED5">
      <w:pPr>
        <w:suppressAutoHyphens w:val="0"/>
        <w:overflowPunct/>
        <w:autoSpaceDE/>
        <w:adjustRightInd/>
        <w:spacing w:after="200"/>
        <w:rPr>
          <w:rFonts w:ascii="Arial Narrow" w:hAnsi="Arial Narrow"/>
          <w:sz w:val="22"/>
          <w:szCs w:val="22"/>
        </w:rPr>
      </w:pPr>
      <w:r w:rsidRPr="00AD6BEE">
        <w:rPr>
          <w:rFonts w:ascii="Arial Narrow" w:hAnsi="Arial Narrow"/>
          <w:sz w:val="18"/>
          <w:szCs w:val="22"/>
        </w:rPr>
        <w:lastRenderedPageBreak/>
        <w:br w:type="page"/>
      </w:r>
    </w:p>
    <w:p w:rsidR="00E532CC" w:rsidRDefault="00E532CC"/>
    <w:sectPr w:rsidR="00E5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AE8" w:rsidRDefault="002D4AE8" w:rsidP="00031ED5">
      <w:r>
        <w:separator/>
      </w:r>
    </w:p>
  </w:endnote>
  <w:endnote w:type="continuationSeparator" w:id="0">
    <w:p w:rsidR="002D4AE8" w:rsidRDefault="002D4AE8" w:rsidP="0003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AE8" w:rsidRDefault="002D4AE8" w:rsidP="00031ED5">
      <w:r>
        <w:separator/>
      </w:r>
    </w:p>
  </w:footnote>
  <w:footnote w:type="continuationSeparator" w:id="0">
    <w:p w:rsidR="002D4AE8" w:rsidRDefault="002D4AE8" w:rsidP="00031ED5">
      <w:r>
        <w:continuationSeparator/>
      </w:r>
    </w:p>
  </w:footnote>
  <w:footnote w:id="1">
    <w:p w:rsidR="00031ED5" w:rsidRPr="00076DA0" w:rsidRDefault="00031ED5" w:rsidP="00031ED5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F0604"/>
    <w:multiLevelType w:val="singleLevel"/>
    <w:tmpl w:val="89389292"/>
    <w:lvl w:ilvl="0"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7A275A"/>
    <w:multiLevelType w:val="hybridMultilevel"/>
    <w:tmpl w:val="CB0E6BB8"/>
    <w:lvl w:ilvl="0" w:tplc="F8B498CE">
      <w:start w:val="1"/>
      <w:numFmt w:val="lowerLetter"/>
      <w:lvlText w:val="%1)"/>
      <w:lvlJc w:val="left"/>
      <w:pPr>
        <w:ind w:left="1080" w:hanging="360"/>
      </w:pPr>
    </w:lvl>
    <w:lvl w:ilvl="1" w:tplc="7D9AEB56" w:tentative="1">
      <w:start w:val="1"/>
      <w:numFmt w:val="lowerLetter"/>
      <w:lvlText w:val="%2."/>
      <w:lvlJc w:val="left"/>
      <w:pPr>
        <w:ind w:left="1800" w:hanging="360"/>
      </w:pPr>
    </w:lvl>
    <w:lvl w:ilvl="2" w:tplc="F4C0F788" w:tentative="1">
      <w:start w:val="1"/>
      <w:numFmt w:val="lowerRoman"/>
      <w:lvlText w:val="%3."/>
      <w:lvlJc w:val="right"/>
      <w:pPr>
        <w:ind w:left="2520" w:hanging="180"/>
      </w:pPr>
    </w:lvl>
    <w:lvl w:ilvl="3" w:tplc="AA0E87F6" w:tentative="1">
      <w:start w:val="1"/>
      <w:numFmt w:val="decimal"/>
      <w:lvlText w:val="%4."/>
      <w:lvlJc w:val="left"/>
      <w:pPr>
        <w:ind w:left="3240" w:hanging="360"/>
      </w:pPr>
    </w:lvl>
    <w:lvl w:ilvl="4" w:tplc="533A50DA" w:tentative="1">
      <w:start w:val="1"/>
      <w:numFmt w:val="lowerLetter"/>
      <w:lvlText w:val="%5."/>
      <w:lvlJc w:val="left"/>
      <w:pPr>
        <w:ind w:left="3960" w:hanging="360"/>
      </w:pPr>
    </w:lvl>
    <w:lvl w:ilvl="5" w:tplc="31DAC496" w:tentative="1">
      <w:start w:val="1"/>
      <w:numFmt w:val="lowerRoman"/>
      <w:lvlText w:val="%6."/>
      <w:lvlJc w:val="right"/>
      <w:pPr>
        <w:ind w:left="4680" w:hanging="180"/>
      </w:pPr>
    </w:lvl>
    <w:lvl w:ilvl="6" w:tplc="4B2A2362" w:tentative="1">
      <w:start w:val="1"/>
      <w:numFmt w:val="decimal"/>
      <w:lvlText w:val="%7."/>
      <w:lvlJc w:val="left"/>
      <w:pPr>
        <w:ind w:left="5400" w:hanging="360"/>
      </w:pPr>
    </w:lvl>
    <w:lvl w:ilvl="7" w:tplc="CFEC379A" w:tentative="1">
      <w:start w:val="1"/>
      <w:numFmt w:val="lowerLetter"/>
      <w:lvlText w:val="%8."/>
      <w:lvlJc w:val="left"/>
      <w:pPr>
        <w:ind w:left="6120" w:hanging="360"/>
      </w:pPr>
    </w:lvl>
    <w:lvl w:ilvl="8" w:tplc="9792647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D5"/>
    <w:rsid w:val="00031ED5"/>
    <w:rsid w:val="002D4AE8"/>
    <w:rsid w:val="00E5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1564"/>
  <w15:chartTrackingRefBased/>
  <w15:docId w15:val="{581F034A-0A5D-4C88-AF2B-D21F1032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ED5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ft"/>
    <w:basedOn w:val="Normal"/>
    <w:link w:val="NotedebasdepageCar"/>
    <w:rsid w:val="00031ED5"/>
    <w:rPr>
      <w:sz w:val="20"/>
    </w:rPr>
  </w:style>
  <w:style w:type="character" w:customStyle="1" w:styleId="NotedebasdepageCar">
    <w:name w:val="Note de bas de page Car"/>
    <w:aliases w:val="ft Car"/>
    <w:basedOn w:val="Policepardfaut"/>
    <w:link w:val="Notedebasdepage"/>
    <w:rsid w:val="00031ED5"/>
    <w:rPr>
      <w:rFonts w:ascii="Times New Roman" w:eastAsia="Times New Roman" w:hAnsi="Times New Roman" w:cs="Arial"/>
      <w:sz w:val="20"/>
      <w:szCs w:val="24"/>
      <w:lang w:eastAsia="fr-FR"/>
    </w:rPr>
  </w:style>
  <w:style w:type="paragraph" w:customStyle="1" w:styleId="Part">
    <w:name w:val="Part"/>
    <w:basedOn w:val="Normal"/>
    <w:next w:val="Normal"/>
    <w:rsid w:val="00031ED5"/>
    <w:pPr>
      <w:spacing w:before="1200"/>
      <w:jc w:val="center"/>
    </w:pPr>
    <w:rPr>
      <w:b/>
      <w:sz w:val="56"/>
    </w:rPr>
  </w:style>
  <w:style w:type="table" w:styleId="Grilledutableau">
    <w:name w:val="Table Grid"/>
    <w:basedOn w:val="TableauNormal"/>
    <w:uiPriority w:val="39"/>
    <w:rsid w:val="00031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724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klezie</dc:creator>
  <cp:keywords/>
  <dc:description/>
  <cp:lastModifiedBy>klezie</cp:lastModifiedBy>
  <cp:revision>1</cp:revision>
  <dcterms:created xsi:type="dcterms:W3CDTF">2024-11-26T14:13:00Z</dcterms:created>
  <dcterms:modified xsi:type="dcterms:W3CDTF">2024-11-26T14:16:00Z</dcterms:modified>
</cp:coreProperties>
</file>