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49279" w14:textId="77777777" w:rsidR="00F13095" w:rsidRDefault="00F13095" w:rsidP="00F13095">
      <w:pPr>
        <w:pageBreakBefore/>
      </w:pPr>
      <w:r>
        <w:rPr>
          <w:b/>
          <w:sz w:val="32"/>
          <w:szCs w:val="32"/>
        </w:rPr>
        <w:t>Avis d’Appel d’Offres Ouvert – Cas sans pré qualification</w:t>
      </w:r>
    </w:p>
    <w:p w14:paraId="7F73F635" w14:textId="77777777" w:rsidR="00F13095" w:rsidRDefault="00F13095" w:rsidP="00F13095">
      <w:pPr>
        <w:pStyle w:val="Notedebasdepage"/>
        <w:tabs>
          <w:tab w:val="left" w:pos="720"/>
        </w:tabs>
        <w:jc w:val="center"/>
      </w:pPr>
    </w:p>
    <w:p w14:paraId="1EB94FAF" w14:textId="77777777" w:rsidR="00F13095" w:rsidRDefault="00F13095" w:rsidP="00F13095">
      <w:pPr>
        <w:pStyle w:val="Notedebasdepage"/>
        <w:tabs>
          <w:tab w:val="left" w:pos="720"/>
        </w:tabs>
        <w:jc w:val="center"/>
      </w:pPr>
    </w:p>
    <w:p w14:paraId="15BFF547" w14:textId="77777777" w:rsidR="00F13095" w:rsidRDefault="00F13095" w:rsidP="00F130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003166BC" w14:textId="77777777" w:rsidR="00F13095" w:rsidRDefault="00F13095" w:rsidP="00F13095">
      <w:pPr>
        <w:jc w:val="center"/>
        <w:rPr>
          <w:b/>
          <w:bCs/>
          <w:i/>
          <w:iCs/>
        </w:rPr>
      </w:pPr>
    </w:p>
    <w:p w14:paraId="023EE7C8" w14:textId="77777777" w:rsidR="00F13095" w:rsidRDefault="00F13095" w:rsidP="00F13095">
      <w:pPr>
        <w:jc w:val="center"/>
      </w:pPr>
      <w:r>
        <w:rPr>
          <w:rFonts w:cs="Times New Roman"/>
          <w:b/>
          <w:bCs/>
          <w:iCs/>
        </w:rPr>
        <w:t>La</w:t>
      </w:r>
      <w:r>
        <w:rPr>
          <w:rFonts w:cs="Times New Roman"/>
          <w:bCs/>
          <w:iCs/>
        </w:rPr>
        <w:t xml:space="preserve"> </w:t>
      </w:r>
      <w:r>
        <w:rPr>
          <w:rFonts w:eastAsia="Arial Unicode MS" w:cs="Times New Roman"/>
          <w:b/>
          <w:szCs w:val="20"/>
        </w:rPr>
        <w:t>Direction générale du Trésor et de la Comptabilité publique</w:t>
      </w:r>
    </w:p>
    <w:p w14:paraId="424EA0F3" w14:textId="77777777" w:rsidR="00F13095" w:rsidRDefault="00F13095" w:rsidP="00F13095">
      <w:pPr>
        <w:jc w:val="center"/>
        <w:rPr>
          <w:b/>
          <w:bCs/>
          <w:iCs/>
        </w:rPr>
      </w:pPr>
    </w:p>
    <w:p w14:paraId="5D816274" w14:textId="77777777" w:rsidR="00F13095" w:rsidRDefault="00F13095" w:rsidP="00F13095">
      <w:pPr>
        <w:jc w:val="center"/>
        <w:rPr>
          <w:b/>
          <w:bCs/>
          <w:iCs/>
        </w:rPr>
      </w:pPr>
      <w:r>
        <w:rPr>
          <w:b/>
          <w:bCs/>
          <w:iCs/>
        </w:rPr>
        <w:t>AAO n° 002/DGTCP-CRFF-BGFM</w:t>
      </w:r>
    </w:p>
    <w:p w14:paraId="47AAF466" w14:textId="77777777" w:rsidR="00F13095" w:rsidRDefault="00F13095" w:rsidP="00F13095">
      <w:pPr>
        <w:jc w:val="center"/>
        <w:rPr>
          <w:b/>
          <w:bCs/>
          <w:i/>
          <w:iCs/>
        </w:rPr>
      </w:pPr>
    </w:p>
    <w:p w14:paraId="046EDB5A" w14:textId="77777777" w:rsidR="00F13095" w:rsidRDefault="00F13095" w:rsidP="00F13095">
      <w:pPr>
        <w:numPr>
          <w:ilvl w:val="0"/>
          <w:numId w:val="1"/>
        </w:numPr>
        <w:tabs>
          <w:tab w:val="left" w:pos="-1440"/>
        </w:tabs>
        <w:suppressAutoHyphens w:val="0"/>
        <w:overflowPunct/>
        <w:autoSpaceDE/>
        <w:spacing w:after="200"/>
        <w:textAlignment w:val="auto"/>
      </w:pPr>
      <w:r>
        <w:rPr>
          <w:rFonts w:cs="Times New Roman"/>
          <w:b/>
          <w:bCs/>
          <w:iCs/>
        </w:rPr>
        <w:t>La</w:t>
      </w:r>
      <w:r>
        <w:rPr>
          <w:rFonts w:cs="Times New Roman"/>
          <w:bCs/>
          <w:iCs/>
        </w:rPr>
        <w:t xml:space="preserve"> </w:t>
      </w:r>
      <w:r>
        <w:rPr>
          <w:rFonts w:eastAsia="Arial Unicode MS" w:cs="Times New Roman"/>
          <w:b/>
          <w:szCs w:val="20"/>
        </w:rPr>
        <w:t xml:space="preserve">Direction générale du Trésor et de la Comptabilité publique </w:t>
      </w:r>
      <w:r>
        <w:rPr>
          <w:rFonts w:eastAsia="Calibri" w:cs="Times New Roman"/>
          <w:lang w:eastAsia="en-US"/>
        </w:rPr>
        <w:t>dispose de fonds sur le fonds d’équipement de la Direction Générale du Trésor et de la Comptabilité Publique</w:t>
      </w:r>
      <w:r>
        <w:t>, afin de financer</w:t>
      </w:r>
      <w:r>
        <w:rPr>
          <w:i/>
          <w:iCs/>
        </w:rPr>
        <w:t xml:space="preserve"> </w:t>
      </w:r>
      <w:r>
        <w:rPr>
          <w:iCs/>
        </w:rPr>
        <w:t xml:space="preserve">les travaux de d’élévation de la clôture de mur et de peinture du bâtiment de la Direction Générale du Trésor et de la Comptabilité Publique </w:t>
      </w:r>
      <w:r>
        <w:t>et à l’intention d’utiliser une partie de ces fonds pour effectuer des paiements au titre du marché</w:t>
      </w:r>
      <w:r>
        <w:rPr>
          <w:b/>
          <w:i/>
          <w:iCs/>
        </w:rPr>
        <w:t xml:space="preserve"> </w:t>
      </w:r>
      <w:r>
        <w:rPr>
          <w:b/>
          <w:iCs/>
        </w:rPr>
        <w:t xml:space="preserve">relatif aux travaux d’élévation de la clôture de mur et de peinture du bâtiment de ladite Direction. </w:t>
      </w:r>
      <w:r>
        <w:rPr>
          <w:rFonts w:cs="Times New Roman"/>
          <w:bCs/>
          <w:iCs/>
        </w:rPr>
        <w:t xml:space="preserve">La </w:t>
      </w:r>
      <w:r>
        <w:rPr>
          <w:rFonts w:eastAsia="Arial Unicode MS" w:cs="Times New Roman"/>
          <w:szCs w:val="20"/>
        </w:rPr>
        <w:t>Direction Générale du Trésor et de la Comptabilité Publique</w:t>
      </w:r>
      <w:r>
        <w:rPr>
          <w:rFonts w:eastAsia="Arial Unicode MS" w:cs="Times New Roman"/>
          <w:b/>
          <w:szCs w:val="20"/>
        </w:rPr>
        <w:t xml:space="preserve"> </w:t>
      </w:r>
      <w:r>
        <w:t>sollicite des offres fermées de la part de candidats éligibles et répondant aux qualifications requises pour réaliser les travaux ci-dessus cités.</w:t>
      </w:r>
    </w:p>
    <w:p w14:paraId="2BE1CD8F" w14:textId="77777777" w:rsidR="00F13095" w:rsidRDefault="00F13095" w:rsidP="00F13095">
      <w:pPr>
        <w:numPr>
          <w:ilvl w:val="0"/>
          <w:numId w:val="1"/>
        </w:numPr>
        <w:tabs>
          <w:tab w:val="left" w:pos="720"/>
        </w:tabs>
        <w:suppressAutoHyphens w:val="0"/>
        <w:overflowPunct/>
        <w:autoSpaceDE/>
        <w:spacing w:after="200"/>
        <w:ind w:left="0" w:firstLine="0"/>
        <w:textAlignment w:val="auto"/>
      </w:pPr>
      <w:r>
        <w:t xml:space="preserve">La passation dudit marché sera conduite par Appel d’offres ouvert tel que défini dans le Code des Marchés publics à l’article 50 et ouvert à tous les candidats éligibles. </w:t>
      </w:r>
    </w:p>
    <w:p w14:paraId="1097B3D4" w14:textId="77777777" w:rsidR="00F13095" w:rsidRDefault="00F13095" w:rsidP="00F13095">
      <w:pPr>
        <w:pStyle w:val="Paragraphedeliste"/>
        <w:numPr>
          <w:ilvl w:val="0"/>
          <w:numId w:val="1"/>
        </w:numPr>
        <w:tabs>
          <w:tab w:val="left" w:pos="390"/>
        </w:tabs>
        <w:suppressAutoHyphens w:val="0"/>
        <w:overflowPunct/>
        <w:autoSpaceDE/>
        <w:spacing w:after="160" w:line="249" w:lineRule="auto"/>
        <w:contextualSpacing w:val="0"/>
        <w:textAlignment w:val="auto"/>
      </w:pPr>
      <w:r>
        <w:rPr>
          <w:rFonts w:cs="Times New Roman"/>
        </w:rPr>
        <w:t xml:space="preserve">Les candidats intéressés peuvent obtenir des informations auprès du </w:t>
      </w:r>
      <w:r>
        <w:rPr>
          <w:rFonts w:cs="Times New Roman"/>
          <w:b/>
        </w:rPr>
        <w:t>Bureau Gestion des Finances et du Matériel de la Direction générale du Trésor et de la Comptabilité publique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2</w:t>
      </w:r>
      <w:r>
        <w:rPr>
          <w:rFonts w:cs="Times New Roman"/>
          <w:b/>
          <w:vertAlign w:val="superscript"/>
        </w:rPr>
        <w:t>ème</w:t>
      </w:r>
      <w:r>
        <w:rPr>
          <w:rFonts w:cs="Times New Roman"/>
          <w:b/>
        </w:rPr>
        <w:t xml:space="preserve"> Étage</w:t>
      </w:r>
      <w:r>
        <w:rPr>
          <w:rFonts w:cs="Times New Roman"/>
        </w:rPr>
        <w:t xml:space="preserve"> et prendre connaissance des documents d’Appel d’offres à l’adresse mentionnée ci-après : </w:t>
      </w:r>
      <w:r>
        <w:rPr>
          <w:rFonts w:cs="Times New Roman"/>
          <w:b/>
        </w:rPr>
        <w:t>Direction générale du Trésor et de la Comptabilité publique, sise à Hamdallaye CI 2000 Bamako, 2</w:t>
      </w:r>
      <w:r>
        <w:rPr>
          <w:rFonts w:cs="Times New Roman"/>
          <w:b/>
          <w:vertAlign w:val="superscript"/>
        </w:rPr>
        <w:t>ème</w:t>
      </w:r>
      <w:r>
        <w:rPr>
          <w:rFonts w:cs="Times New Roman"/>
          <w:b/>
        </w:rPr>
        <w:t xml:space="preserve"> Étage, Bureau Gestion des Finances et du Matériel « DC2 » Tél :  20 23 17 07/20 23 19 79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de 08 h 00 à 16 h 00.</w:t>
      </w:r>
    </w:p>
    <w:p w14:paraId="26DA8D6E" w14:textId="77777777" w:rsidR="00F13095" w:rsidRDefault="00F13095" w:rsidP="00F13095">
      <w:pPr>
        <w:numPr>
          <w:ilvl w:val="0"/>
          <w:numId w:val="1"/>
        </w:numPr>
        <w:tabs>
          <w:tab w:val="left" w:pos="720"/>
        </w:tabs>
        <w:suppressAutoHyphens w:val="0"/>
        <w:overflowPunct/>
        <w:autoSpaceDE/>
        <w:spacing w:after="200"/>
        <w:ind w:left="0" w:firstLine="0"/>
        <w:textAlignment w:val="auto"/>
      </w:pPr>
      <w:r>
        <w:t xml:space="preserve">Les exigences en matière de qualifications sont les suivantes : </w:t>
      </w:r>
    </w:p>
    <w:p w14:paraId="29707E64" w14:textId="77777777" w:rsidR="00F13095" w:rsidRDefault="00F13095" w:rsidP="00F13095">
      <w:r>
        <w:rPr>
          <w:b/>
        </w:rPr>
        <w:t>Capacité technique et expérience</w:t>
      </w:r>
      <w:r>
        <w:t> :</w:t>
      </w:r>
    </w:p>
    <w:p w14:paraId="5BAD9C77" w14:textId="77777777" w:rsidR="00F13095" w:rsidRDefault="00F13095" w:rsidP="00F13095">
      <w:pPr>
        <w:spacing w:after="200"/>
      </w:pPr>
      <w:r>
        <w:t>Le Soumissionnaire doit prouver, documentation à l’appui, qu’il satisfait aux exigences d’expérience ci-après :</w:t>
      </w:r>
    </w:p>
    <w:p w14:paraId="2E586EC7" w14:textId="77777777" w:rsidR="00F13095" w:rsidRDefault="00F13095" w:rsidP="00F13095">
      <w:pPr>
        <w:spacing w:after="200"/>
      </w:pPr>
      <w:r>
        <w:t>Fournir la preuve de l’exécution de deux (02) marchés similaires des travaux construction ou de réhabilitation de bâtiments d’une valeur minimale de soixante-quinze millions (</w:t>
      </w:r>
      <w:r w:rsidRPr="003E2D3E">
        <w:t>75 000 000</w:t>
      </w:r>
      <w:r>
        <w:t>) F CFA TTC par marché, attestées par des procès-verbaux de réception et les copies des pages de garde et signature des marchés au cours des années 2020 à 2024.</w:t>
      </w:r>
    </w:p>
    <w:p w14:paraId="119E9134" w14:textId="77777777" w:rsidR="00F13095" w:rsidRDefault="00F13095" w:rsidP="00F13095">
      <w:pPr>
        <w:spacing w:line="276" w:lineRule="auto"/>
        <w:rPr>
          <w:b/>
        </w:rPr>
      </w:pPr>
      <w:r>
        <w:rPr>
          <w:b/>
        </w:rPr>
        <w:t>Capacités financières :</w:t>
      </w:r>
    </w:p>
    <w:p w14:paraId="0B352141" w14:textId="77777777" w:rsidR="00F13095" w:rsidRDefault="00F13095" w:rsidP="00F13095">
      <w:pPr>
        <w:spacing w:line="276" w:lineRule="auto"/>
      </w:pPr>
      <w:r>
        <w:t xml:space="preserve">Les bilans, extrait de bilan et comptes d’exploitation des années 2022, 2023 et 2024 doivent être certifiés par un expert-comptable ou attestés par un comptable agréé inscrit au tableau de l’ordre et sur lesdits bilans doit figurer la mention suivante </w:t>
      </w:r>
      <w:r>
        <w:rPr>
          <w:i/>
        </w:rPr>
        <w:t>« bilans conformes aux déclarations souscrites au service des impôts »</w:t>
      </w:r>
      <w:r>
        <w:t xml:space="preserve"> apposée par le service compétent des impôts.</w:t>
      </w:r>
    </w:p>
    <w:p w14:paraId="10497848" w14:textId="77777777" w:rsidR="00F13095" w:rsidRPr="003E2D3E" w:rsidRDefault="00F13095" w:rsidP="00F13095">
      <w:pPr>
        <w:suppressAutoHyphens w:val="0"/>
        <w:overflowPunct/>
        <w:autoSpaceDE/>
        <w:spacing w:after="200"/>
        <w:textAlignment w:val="auto"/>
      </w:pPr>
      <w:r>
        <w:t xml:space="preserve">Le chiffre d’affaires moyen des années 2022, 2023 et 2024 doit être au moins égal à cent cinquante </w:t>
      </w:r>
      <w:r w:rsidRPr="003E2D3E">
        <w:t>millions (150 000 000) F CFA.</w:t>
      </w:r>
    </w:p>
    <w:p w14:paraId="6D982870" w14:textId="77777777" w:rsidR="00F13095" w:rsidRPr="003E2D3E" w:rsidRDefault="00F13095" w:rsidP="00F13095">
      <w:pPr>
        <w:suppressAutoHyphens w:val="0"/>
        <w:overflowPunct/>
        <w:autoSpaceDE/>
        <w:spacing w:after="200"/>
        <w:textAlignment w:val="auto"/>
      </w:pPr>
      <w:r w:rsidRPr="003E2D3E">
        <w:t xml:space="preserve">Les sociétés nouvellement créées doivent fournir une attestation bancaire de disponibilité de fonds ou d’engagement à financer le marché d'un montant de quatre-vingt millions (80 000 000) </w:t>
      </w:r>
      <w:r w:rsidRPr="003E2D3E">
        <w:lastRenderedPageBreak/>
        <w:t>F CFA, l’attestation de ligne de crédit doit être conforme au modèle indiqué dans le présent dossier.</w:t>
      </w:r>
    </w:p>
    <w:p w14:paraId="01543911" w14:textId="77777777" w:rsidR="00F13095" w:rsidRDefault="00F13095" w:rsidP="00F13095">
      <w:pPr>
        <w:suppressAutoHyphens w:val="0"/>
        <w:overflowPunct/>
        <w:autoSpaceDE/>
        <w:spacing w:after="200"/>
        <w:textAlignment w:val="auto"/>
      </w:pPr>
      <w:r w:rsidRPr="003E2D3E">
        <w:t>Besoins en financement du marché et les autres engagements en cours présenter des pièces attestant que le soumissionnaire dispose de liquidités, a accès, ou a à sa disposition, des facilités de crédit d’un montant au moins équivalant à : 40 000 000F CFA</w:t>
      </w:r>
    </w:p>
    <w:p w14:paraId="171DF5B4" w14:textId="77777777" w:rsidR="00F13095" w:rsidRDefault="00F13095" w:rsidP="00F13095">
      <w:pPr>
        <w:suppressAutoHyphens w:val="0"/>
        <w:overflowPunct/>
        <w:autoSpaceDE/>
        <w:spacing w:after="200"/>
        <w:textAlignment w:val="auto"/>
        <w:rPr>
          <w:rFonts w:cs="Times New Roman"/>
          <w:b/>
        </w:rPr>
      </w:pPr>
      <w:r>
        <w:rPr>
          <w:rFonts w:cs="Times New Roman"/>
          <w:b/>
        </w:rPr>
        <w:t>Capacité légale :</w:t>
      </w:r>
    </w:p>
    <w:p w14:paraId="7367BA87" w14:textId="77777777" w:rsidR="00F13095" w:rsidRDefault="00F13095" w:rsidP="00F13095">
      <w:pPr>
        <w:pStyle w:val="Paragraphedeliste"/>
        <w:numPr>
          <w:ilvl w:val="0"/>
          <w:numId w:val="2"/>
        </w:numPr>
        <w:overflowPunct/>
        <w:autoSpaceDE/>
        <w:contextualSpacing w:val="0"/>
        <w:textAlignment w:val="auto"/>
      </w:pPr>
      <w:r>
        <w:t>Agrément ou carte professionnelle ;</w:t>
      </w:r>
    </w:p>
    <w:p w14:paraId="6D6BC4F7" w14:textId="77777777" w:rsidR="00F13095" w:rsidRDefault="00F13095" w:rsidP="00F13095">
      <w:pPr>
        <w:pStyle w:val="Paragraphedeliste"/>
        <w:numPr>
          <w:ilvl w:val="0"/>
          <w:numId w:val="2"/>
        </w:numPr>
        <w:overflowPunct/>
        <w:autoSpaceDE/>
        <w:contextualSpacing w:val="0"/>
        <w:textAlignment w:val="auto"/>
      </w:pPr>
      <w:r>
        <w:t>Le certificat de non-faillite du candidat dûment établi par les autorités compétentes ou sa photocopie certifiée conforme datant de moins de trois (03) mois ;</w:t>
      </w:r>
    </w:p>
    <w:p w14:paraId="5A7019F6" w14:textId="77777777" w:rsidR="00F13095" w:rsidRDefault="00F13095" w:rsidP="00F13095">
      <w:pPr>
        <w:pStyle w:val="Paragraphedeliste"/>
        <w:overflowPunct/>
        <w:autoSpaceDE/>
      </w:pPr>
      <w:r>
        <w:t>- Le quitus fiscal ou sa photocopie certifiée conforme et en cours de validité ;</w:t>
      </w:r>
    </w:p>
    <w:p w14:paraId="19A0D14E" w14:textId="77777777" w:rsidR="00F13095" w:rsidRDefault="00F13095" w:rsidP="00F13095">
      <w:pPr>
        <w:pStyle w:val="Paragraphedeliste"/>
        <w:overflowPunct/>
        <w:autoSpaceDE/>
      </w:pPr>
      <w:r>
        <w:t>- L’acte de groupement (le cas échéant) ;</w:t>
      </w:r>
    </w:p>
    <w:p w14:paraId="498A5622" w14:textId="77777777" w:rsidR="00F13095" w:rsidRDefault="00F13095" w:rsidP="00F13095">
      <w:pPr>
        <w:pStyle w:val="Paragraphedeliste"/>
        <w:overflowPunct/>
        <w:autoSpaceDE/>
      </w:pPr>
      <w:r>
        <w:t>- La procuration du signataire (le cas échéant).</w:t>
      </w:r>
    </w:p>
    <w:p w14:paraId="5B17240D" w14:textId="77777777" w:rsidR="00F13095" w:rsidRDefault="00F13095" w:rsidP="00F13095">
      <w:pPr>
        <w:suppressAutoHyphens w:val="0"/>
        <w:overflowPunct/>
        <w:autoSpaceDE/>
        <w:spacing w:before="240" w:after="200"/>
        <w:textAlignment w:val="auto"/>
      </w:pPr>
      <w:r>
        <w:rPr>
          <w:rFonts w:cs="Times New Roman"/>
          <w:b/>
        </w:rPr>
        <w:t>Voir les DPAO pour les informations détaillées.</w:t>
      </w:r>
    </w:p>
    <w:p w14:paraId="21CEEE6D" w14:textId="77777777" w:rsidR="00F13095" w:rsidRDefault="00F13095" w:rsidP="00F13095">
      <w:pPr>
        <w:numPr>
          <w:ilvl w:val="0"/>
          <w:numId w:val="1"/>
        </w:numPr>
        <w:tabs>
          <w:tab w:val="left" w:pos="-1440"/>
        </w:tabs>
        <w:suppressAutoHyphens w:val="0"/>
        <w:overflowPunct/>
        <w:autoSpaceDE/>
        <w:spacing w:before="120" w:after="120"/>
        <w:textAlignment w:val="auto"/>
      </w:pPr>
      <w:r>
        <w:t xml:space="preserve">Les candidats intéressés peuvent consulter gratuitement le dossier d’Appel d’Offres complet ou le retirer à titre onéreux contre paiement d’une somme non remboursable de </w:t>
      </w:r>
      <w:r w:rsidRPr="0043518C">
        <w:t>cinquante mille (50 000)</w:t>
      </w:r>
      <w:r>
        <w:t xml:space="preserve"> FCFA à l’adresse mentionnée ci-après : </w:t>
      </w:r>
      <w:r>
        <w:rPr>
          <w:b/>
        </w:rPr>
        <w:t>Direction Générale du Trésor et de la Comptabilité Publique, sise à Hamdallaye CI 2000 Bamako, 2ème Étage, Bureau Gestion des Finances et du Matériel « DC2 »</w:t>
      </w:r>
      <w:r>
        <w:t>. La méthode de paiement sera par espèce contre reçu. Le Dossier d’Appel d’Offres sera adressé par support physique.</w:t>
      </w:r>
    </w:p>
    <w:p w14:paraId="1A9D8E10" w14:textId="3CE4261D" w:rsidR="00F13095" w:rsidRDefault="00F13095" w:rsidP="00F96452">
      <w:pPr>
        <w:numPr>
          <w:ilvl w:val="0"/>
          <w:numId w:val="1"/>
        </w:numPr>
        <w:tabs>
          <w:tab w:val="left" w:pos="-1440"/>
        </w:tabs>
        <w:suppressAutoHyphens w:val="0"/>
        <w:overflowPunct/>
        <w:autoSpaceDE/>
        <w:spacing w:before="120" w:after="120"/>
        <w:textAlignment w:val="auto"/>
      </w:pPr>
      <w:r>
        <w:t xml:space="preserve">Les offres devront être soumises à l’adresse ci-après : </w:t>
      </w:r>
      <w:r>
        <w:rPr>
          <w:b/>
        </w:rPr>
        <w:t xml:space="preserve">Direction Générale du Trésor et de la Comptabilité Publique, sise à Hamdallaye CI 2000 Bamako, 2ème Étage, Bureau Gestion des Finances et du Matériel, au plus tard </w:t>
      </w:r>
      <w:bookmarkStart w:id="0" w:name="_GoBack"/>
      <w:r>
        <w:rPr>
          <w:b/>
        </w:rPr>
        <w:t xml:space="preserve">le </w:t>
      </w:r>
      <w:r w:rsidR="00F96452" w:rsidRPr="00F96452">
        <w:rPr>
          <w:b/>
        </w:rPr>
        <w:t xml:space="preserve">mardi 01 juillet </w:t>
      </w:r>
      <w:bookmarkEnd w:id="0"/>
      <w:r w:rsidR="00F96452" w:rsidRPr="00F96452">
        <w:rPr>
          <w:b/>
        </w:rPr>
        <w:t xml:space="preserve">2025 </w:t>
      </w:r>
      <w:r w:rsidR="00541369">
        <w:rPr>
          <w:b/>
        </w:rPr>
        <w:t>2025</w:t>
      </w:r>
      <w:r>
        <w:rPr>
          <w:b/>
        </w:rPr>
        <w:t xml:space="preserve"> à </w:t>
      </w:r>
      <w:r w:rsidR="00541369">
        <w:rPr>
          <w:b/>
        </w:rPr>
        <w:t>10</w:t>
      </w:r>
      <w:r>
        <w:rPr>
          <w:b/>
        </w:rPr>
        <w:t xml:space="preserve"> heures </w:t>
      </w:r>
      <w:r w:rsidR="00541369">
        <w:rPr>
          <w:b/>
        </w:rPr>
        <w:t>0</w:t>
      </w:r>
      <w:r>
        <w:rPr>
          <w:b/>
        </w:rPr>
        <w:t>0 minute</w:t>
      </w:r>
      <w:r>
        <w:t>. Les offres remises en retard ne seront pas acceptées.</w:t>
      </w:r>
    </w:p>
    <w:p w14:paraId="295FB3B6" w14:textId="77777777" w:rsidR="00F13095" w:rsidRDefault="00F13095" w:rsidP="00F13095">
      <w:pPr>
        <w:pStyle w:val="Paragraphedeliste"/>
        <w:numPr>
          <w:ilvl w:val="0"/>
          <w:numId w:val="1"/>
        </w:numPr>
        <w:tabs>
          <w:tab w:val="left" w:pos="684"/>
        </w:tabs>
        <w:suppressAutoHyphens w:val="0"/>
        <w:overflowPunct/>
        <w:autoSpaceDE/>
        <w:spacing w:before="120" w:after="120"/>
        <w:contextualSpacing w:val="0"/>
        <w:textAlignment w:val="auto"/>
      </w:pPr>
      <w:r>
        <w:rPr>
          <w:rFonts w:cs="Times New Roman"/>
        </w:rPr>
        <w:t>Les offres doivent comprendre une garantie de soumission, d’un montant de</w:t>
      </w:r>
      <w:r>
        <w:rPr>
          <w:rFonts w:cs="Times New Roman"/>
          <w:b/>
        </w:rPr>
        <w:t xml:space="preserve"> Deux millions deux cent cinq mille (2 250 000) francs CFA,</w:t>
      </w:r>
      <w:r>
        <w:rPr>
          <w:rFonts w:cs="Times New Roman"/>
        </w:rPr>
        <w:t xml:space="preserve"> conformément à l’article 69 du Code des marchés publics.</w:t>
      </w:r>
    </w:p>
    <w:p w14:paraId="577E13EC" w14:textId="77777777" w:rsidR="00F13095" w:rsidRDefault="00F13095" w:rsidP="00F13095">
      <w:pPr>
        <w:numPr>
          <w:ilvl w:val="0"/>
          <w:numId w:val="1"/>
        </w:numPr>
        <w:tabs>
          <w:tab w:val="left" w:pos="720"/>
        </w:tabs>
        <w:suppressAutoHyphens w:val="0"/>
        <w:overflowPunct/>
        <w:autoSpaceDE/>
        <w:spacing w:after="200"/>
        <w:ind w:left="0" w:firstLine="0"/>
        <w:textAlignment w:val="auto"/>
      </w:pPr>
      <w:r>
        <w:t xml:space="preserve">Les Soumissionnaires resteront engagés par leur offre pendant une période de </w:t>
      </w:r>
      <w:r>
        <w:rPr>
          <w:b/>
        </w:rPr>
        <w:t>quatre-vingt-dix (90) jours</w:t>
      </w:r>
      <w:r>
        <w:rPr>
          <w:iCs/>
          <w:sz w:val="23"/>
          <w:szCs w:val="23"/>
        </w:rPr>
        <w:t xml:space="preserve"> </w:t>
      </w:r>
      <w:r>
        <w:t>à compter de la date limite du dépôt des offres comme spécifiées au point 19.1 des IC et au DPAO.</w:t>
      </w:r>
    </w:p>
    <w:p w14:paraId="1A91F403" w14:textId="76F405EB" w:rsidR="00F13095" w:rsidRDefault="00F13095" w:rsidP="00F13095">
      <w:pPr>
        <w:numPr>
          <w:ilvl w:val="0"/>
          <w:numId w:val="1"/>
        </w:numPr>
        <w:tabs>
          <w:tab w:val="left" w:pos="-1440"/>
        </w:tabs>
        <w:suppressAutoHyphens w:val="0"/>
        <w:overflowPunct/>
        <w:autoSpaceDE/>
        <w:spacing w:after="200"/>
        <w:textAlignment w:val="auto"/>
      </w:pPr>
      <w:r>
        <w:t xml:space="preserve">Les offres seront ouvertes en présence des représentants des soumissionnaires qui souhaitent assister à l’ouverture des plis </w:t>
      </w:r>
      <w:r>
        <w:rPr>
          <w:b/>
          <w:bCs/>
        </w:rPr>
        <w:t xml:space="preserve">le </w:t>
      </w:r>
      <w:r w:rsidR="00F96452">
        <w:rPr>
          <w:b/>
        </w:rPr>
        <w:t>mardi 01 juillet</w:t>
      </w:r>
      <w:r w:rsidR="00541369">
        <w:rPr>
          <w:b/>
        </w:rPr>
        <w:t xml:space="preserve"> 2025 </w:t>
      </w:r>
      <w:r>
        <w:t xml:space="preserve">à </w:t>
      </w:r>
      <w:r w:rsidRPr="00541369">
        <w:rPr>
          <w:b/>
          <w:bCs/>
        </w:rPr>
        <w:t>10 heures 30 minutes</w:t>
      </w:r>
      <w:r>
        <w:t xml:space="preserve"> à l’adresse suivante : </w:t>
      </w:r>
      <w:r>
        <w:rPr>
          <w:b/>
        </w:rPr>
        <w:t>Salle de réunion de la Direction Générale du Trésor et de la Comptabilité Publique, sise à Hamdallaye CI 2000 Bamako, 1er Étage.</w:t>
      </w:r>
    </w:p>
    <w:p w14:paraId="474F0CC4" w14:textId="77777777" w:rsidR="005F3B6E" w:rsidRDefault="005F3B6E"/>
    <w:sectPr w:rsidR="005F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83C"/>
    <w:multiLevelType w:val="multilevel"/>
    <w:tmpl w:val="497C90D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220009"/>
    <w:multiLevelType w:val="multilevel"/>
    <w:tmpl w:val="EAD81D4A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95"/>
    <w:rsid w:val="00024D47"/>
    <w:rsid w:val="00541369"/>
    <w:rsid w:val="005F3B6E"/>
    <w:rsid w:val="009B6224"/>
    <w:rsid w:val="00B25DF8"/>
    <w:rsid w:val="00F13095"/>
    <w:rsid w:val="00F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B8D1"/>
  <w15:chartTrackingRefBased/>
  <w15:docId w15:val="{68643060-C9C6-4C5C-9409-909C1410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095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1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30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30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30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30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30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30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3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3095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309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130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0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3095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rsid w:val="00F13095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F13095"/>
    <w:rPr>
      <w:rFonts w:ascii="Times New Roman" w:eastAsia="Times New Roman" w:hAnsi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Faïçal  YALCOUYE</dc:creator>
  <cp:keywords/>
  <dc:description/>
  <cp:lastModifiedBy>HP</cp:lastModifiedBy>
  <cp:revision>3</cp:revision>
  <dcterms:created xsi:type="dcterms:W3CDTF">2025-05-29T17:50:00Z</dcterms:created>
  <dcterms:modified xsi:type="dcterms:W3CDTF">2025-06-03T09:19:00Z</dcterms:modified>
</cp:coreProperties>
</file>