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D2" w:rsidRPr="00B50CCD" w:rsidRDefault="004F0DD2" w:rsidP="004F0DD2">
      <w:pPr>
        <w:spacing w:after="160" w:line="259" w:lineRule="auto"/>
        <w:jc w:val="left"/>
        <w:rPr>
          <w:b/>
          <w:sz w:val="20"/>
        </w:rPr>
      </w:pPr>
      <w:r>
        <w:rPr>
          <w:b/>
          <w:sz w:val="20"/>
        </w:rPr>
        <w:t xml:space="preserve">      </w:t>
      </w: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761AB1D" wp14:editId="28EE5C77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952500" cy="80962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</w:rPr>
        <w:t xml:space="preserve">                                                                                                                </w:t>
      </w:r>
      <w:r w:rsidRPr="00B50CCD">
        <w:rPr>
          <w:b/>
          <w:sz w:val="20"/>
        </w:rPr>
        <w:t>REPUBLIQUE DU MALI</w:t>
      </w:r>
    </w:p>
    <w:p w:rsidR="004F0DD2" w:rsidRPr="00B50CCD" w:rsidRDefault="004F0DD2" w:rsidP="004F0DD2">
      <w:pPr>
        <w:jc w:val="center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</w:t>
      </w:r>
      <w:r w:rsidRPr="00B50CCD">
        <w:rPr>
          <w:b/>
          <w:sz w:val="20"/>
        </w:rPr>
        <w:t>Un Peuple – Un But – Une Foi</w:t>
      </w:r>
    </w:p>
    <w:p w:rsidR="004F0DD2" w:rsidRDefault="004F0DD2" w:rsidP="004F0DD2">
      <w:pPr>
        <w:jc w:val="center"/>
        <w:rPr>
          <w:szCs w:val="24"/>
        </w:rPr>
      </w:pPr>
    </w:p>
    <w:p w:rsidR="004F0DD2" w:rsidRPr="00B50CCD" w:rsidRDefault="004F0DD2" w:rsidP="004F0DD2">
      <w:pPr>
        <w:jc w:val="center"/>
        <w:rPr>
          <w:b/>
          <w:sz w:val="20"/>
        </w:rPr>
      </w:pPr>
      <w:r>
        <w:rPr>
          <w:szCs w:val="24"/>
        </w:rPr>
        <w:t xml:space="preserve">                                                 B</w:t>
      </w:r>
      <w:r w:rsidRPr="00537BED">
        <w:rPr>
          <w:szCs w:val="24"/>
        </w:rPr>
        <w:t>amako, le</w:t>
      </w:r>
      <w:r w:rsidRPr="002D5433">
        <w:rPr>
          <w:b/>
          <w:sz w:val="20"/>
        </w:rPr>
        <w:t xml:space="preserve"> </w:t>
      </w:r>
    </w:p>
    <w:p w:rsidR="004F0DD2" w:rsidRPr="00537BED" w:rsidRDefault="004F0DD2" w:rsidP="004F0DD2">
      <w:pPr>
        <w:ind w:left="4248"/>
        <w:rPr>
          <w:szCs w:val="24"/>
        </w:rPr>
      </w:pPr>
      <w:r w:rsidRPr="009103B6">
        <w:rPr>
          <w:b/>
        </w:rPr>
        <w:t>----------------------</w:t>
      </w:r>
    </w:p>
    <w:p w:rsidR="004F0DD2" w:rsidRPr="00C771C6" w:rsidRDefault="004F0DD2" w:rsidP="004F0DD2">
      <w:pPr>
        <w:rPr>
          <w:sz w:val="16"/>
          <w:szCs w:val="16"/>
        </w:rPr>
      </w:pPr>
    </w:p>
    <w:p w:rsidR="004F0DD2" w:rsidRPr="009103B6" w:rsidRDefault="004F0DD2" w:rsidP="004F0DD2">
      <w:pPr>
        <w:pStyle w:val="Titre1"/>
        <w:rPr>
          <w:b w:val="0"/>
          <w:sz w:val="28"/>
          <w:szCs w:val="24"/>
        </w:rPr>
      </w:pPr>
      <w:bookmarkStart w:id="0" w:name="_Toc498605947"/>
      <w:r w:rsidRPr="009103B6">
        <w:rPr>
          <w:sz w:val="28"/>
          <w:szCs w:val="24"/>
        </w:rPr>
        <w:t xml:space="preserve">Section I - </w:t>
      </w:r>
      <w:bookmarkStart w:id="1" w:name="_GoBack"/>
      <w:r w:rsidRPr="009103B6">
        <w:rPr>
          <w:sz w:val="28"/>
          <w:szCs w:val="24"/>
        </w:rPr>
        <w:t xml:space="preserve">Avis d’Appel à Concurrence </w:t>
      </w:r>
      <w:bookmarkEnd w:id="0"/>
      <w:bookmarkEnd w:id="1"/>
    </w:p>
    <w:p w:rsidR="004F0DD2" w:rsidRPr="009103B6" w:rsidRDefault="004F0DD2" w:rsidP="004F0DD2">
      <w:pPr>
        <w:pStyle w:val="Titre2"/>
        <w:rPr>
          <w:b/>
          <w:sz w:val="23"/>
          <w:szCs w:val="24"/>
        </w:rPr>
      </w:pPr>
    </w:p>
    <w:p w:rsidR="004F0DD2" w:rsidRPr="0081635B" w:rsidRDefault="004F0DD2" w:rsidP="004F0DD2">
      <w:pPr>
        <w:rPr>
          <w:szCs w:val="24"/>
        </w:rPr>
      </w:pPr>
      <w:r w:rsidRPr="002C31B9">
        <w:rPr>
          <w:b/>
          <w:szCs w:val="24"/>
        </w:rPr>
        <w:t>DRPCO N° : N°202</w:t>
      </w:r>
      <w:r>
        <w:rPr>
          <w:b/>
          <w:szCs w:val="24"/>
        </w:rPr>
        <w:t>5</w:t>
      </w:r>
      <w:r w:rsidRPr="002C31B9">
        <w:rPr>
          <w:b/>
          <w:szCs w:val="24"/>
        </w:rPr>
        <w:t>/</w:t>
      </w:r>
      <w:r>
        <w:rPr>
          <w:b/>
          <w:szCs w:val="24"/>
        </w:rPr>
        <w:t>023</w:t>
      </w:r>
      <w:r w:rsidRPr="002C31B9">
        <w:rPr>
          <w:b/>
          <w:szCs w:val="24"/>
        </w:rPr>
        <w:t>/SOMAGEP-SA/DAL</w:t>
      </w:r>
    </w:p>
    <w:p w:rsidR="004F0DD2" w:rsidRPr="009103B6" w:rsidRDefault="004F0DD2" w:rsidP="004F0DD2">
      <w:pPr>
        <w:rPr>
          <w:sz w:val="23"/>
          <w:szCs w:val="24"/>
        </w:rPr>
      </w:pPr>
    </w:p>
    <w:p w:rsidR="004F0DD2" w:rsidRPr="00B17E87" w:rsidRDefault="004F0DD2" w:rsidP="004F0DD2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0" w:firstLine="0"/>
        <w:rPr>
          <w:b/>
          <w:szCs w:val="24"/>
        </w:rPr>
      </w:pPr>
      <w:r w:rsidRPr="001E05E6">
        <w:rPr>
          <w:bCs/>
          <w:iCs/>
          <w:szCs w:val="24"/>
        </w:rPr>
        <w:t xml:space="preserve">La </w:t>
      </w:r>
      <w:r w:rsidRPr="001E05E6">
        <w:rPr>
          <w:b/>
          <w:bCs/>
          <w:iCs/>
          <w:szCs w:val="24"/>
        </w:rPr>
        <w:t xml:space="preserve">SOMAGEP-SA </w:t>
      </w:r>
      <w:r w:rsidRPr="001E05E6">
        <w:rPr>
          <w:iCs/>
          <w:szCs w:val="24"/>
        </w:rPr>
        <w:t xml:space="preserve">dispose de </w:t>
      </w:r>
      <w:r>
        <w:rPr>
          <w:szCs w:val="24"/>
        </w:rPr>
        <w:t>fonds propre, Exercice 2025,</w:t>
      </w:r>
      <w:r w:rsidRPr="001E05E6">
        <w:rPr>
          <w:szCs w:val="24"/>
        </w:rPr>
        <w:t xml:space="preserve"> afin de financer </w:t>
      </w:r>
      <w:r>
        <w:rPr>
          <w:iCs/>
        </w:rPr>
        <w:t>l’entretien et la maintenance de ses équipements</w:t>
      </w:r>
      <w:r w:rsidRPr="001E05E6">
        <w:rPr>
          <w:szCs w:val="24"/>
        </w:rPr>
        <w:t xml:space="preserve">, et a l’intention d’utiliser une partie de ces fonds pour effectuer des paiements au titre du Marché </w:t>
      </w:r>
      <w:r>
        <w:rPr>
          <w:szCs w:val="24"/>
        </w:rPr>
        <w:t xml:space="preserve">pour la </w:t>
      </w:r>
      <w:r w:rsidRPr="00B17E87">
        <w:rPr>
          <w:b/>
          <w:szCs w:val="24"/>
        </w:rPr>
        <w:t xml:space="preserve">fourniture </w:t>
      </w:r>
      <w:r>
        <w:rPr>
          <w:b/>
          <w:szCs w:val="24"/>
        </w:rPr>
        <w:t>de pièces de rechange.</w:t>
      </w:r>
    </w:p>
    <w:p w:rsidR="004F0DD2" w:rsidRPr="00493F84" w:rsidRDefault="004F0DD2" w:rsidP="004F0DD2">
      <w:pPr>
        <w:spacing w:line="276" w:lineRule="auto"/>
        <w:rPr>
          <w:sz w:val="16"/>
          <w:szCs w:val="16"/>
        </w:rPr>
      </w:pPr>
    </w:p>
    <w:p w:rsidR="004F0DD2" w:rsidRDefault="004F0DD2" w:rsidP="004F0DD2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0" w:firstLine="0"/>
        <w:rPr>
          <w:b/>
          <w:szCs w:val="24"/>
        </w:rPr>
      </w:pPr>
      <w:r w:rsidRPr="00675F29">
        <w:rPr>
          <w:bCs/>
          <w:iCs/>
          <w:szCs w:val="24"/>
        </w:rPr>
        <w:t xml:space="preserve">La </w:t>
      </w:r>
      <w:r w:rsidRPr="00675F29">
        <w:rPr>
          <w:b/>
          <w:bCs/>
          <w:iCs/>
          <w:szCs w:val="24"/>
        </w:rPr>
        <w:t>SOMAGEP-SA</w:t>
      </w:r>
      <w:r w:rsidRPr="00675F29">
        <w:rPr>
          <w:szCs w:val="24"/>
        </w:rPr>
        <w:t xml:space="preserve"> sollicite des offres fermées de la part de candidats éligibles et répondant aux qualifications requises pour la </w:t>
      </w:r>
      <w:r w:rsidRPr="00CD0D6E">
        <w:rPr>
          <w:b/>
          <w:szCs w:val="24"/>
        </w:rPr>
        <w:t>fourniture de pièces de rechange hydrauliques</w:t>
      </w:r>
      <w:r>
        <w:rPr>
          <w:b/>
          <w:szCs w:val="24"/>
        </w:rPr>
        <w:t xml:space="preserve"> et analyseurs continus.</w:t>
      </w:r>
    </w:p>
    <w:p w:rsidR="004F0DD2" w:rsidRPr="00675F29" w:rsidRDefault="004F0DD2" w:rsidP="004F0DD2">
      <w:pPr>
        <w:spacing w:line="276" w:lineRule="auto"/>
        <w:rPr>
          <w:b/>
          <w:szCs w:val="24"/>
        </w:rPr>
      </w:pPr>
    </w:p>
    <w:p w:rsidR="004F0DD2" w:rsidRPr="001E05E6" w:rsidRDefault="004F0DD2" w:rsidP="004F0DD2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0" w:firstLine="0"/>
        <w:rPr>
          <w:szCs w:val="24"/>
        </w:rPr>
      </w:pPr>
      <w:r w:rsidRPr="001E05E6">
        <w:rPr>
          <w:szCs w:val="24"/>
        </w:rPr>
        <w:t xml:space="preserve">La passation du Marché sera conduite par Demande de Renseignement et de Prix à Compétition Ouverte et est ouverte à tous les candidats éligibles aux marchés publics. </w:t>
      </w:r>
    </w:p>
    <w:p w:rsidR="004F0DD2" w:rsidRPr="00C771C6" w:rsidRDefault="004F0DD2" w:rsidP="004F0DD2">
      <w:pPr>
        <w:spacing w:line="276" w:lineRule="auto"/>
        <w:rPr>
          <w:sz w:val="16"/>
          <w:szCs w:val="16"/>
        </w:rPr>
      </w:pPr>
    </w:p>
    <w:p w:rsidR="004F0DD2" w:rsidRPr="001E05E6" w:rsidRDefault="004F0DD2" w:rsidP="004F0DD2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0" w:firstLine="0"/>
        <w:rPr>
          <w:szCs w:val="24"/>
        </w:rPr>
      </w:pPr>
      <w:r w:rsidRPr="001E05E6">
        <w:rPr>
          <w:szCs w:val="24"/>
        </w:rPr>
        <w:t>Les candidats intéressés peuvent obtenir des informations et prendre connaissance du Dossier d’Appel à la Concurrence à l’adresse mentionnée ci-dessus de 7 H 30 à 16 heures, auprès de :</w:t>
      </w:r>
    </w:p>
    <w:p w:rsidR="004F0DD2" w:rsidRPr="001E05E6" w:rsidRDefault="004F0DD2" w:rsidP="004F0DD2">
      <w:pPr>
        <w:spacing w:line="276" w:lineRule="auto"/>
        <w:ind w:left="1416"/>
        <w:rPr>
          <w:szCs w:val="24"/>
        </w:rPr>
      </w:pPr>
      <w:r w:rsidRPr="001E05E6">
        <w:rPr>
          <w:szCs w:val="24"/>
        </w:rPr>
        <w:t>Société Malienne de Gestion de l’Eau Potable SA</w:t>
      </w:r>
    </w:p>
    <w:p w:rsidR="004F0DD2" w:rsidRPr="001E05E6" w:rsidRDefault="004F0DD2" w:rsidP="004F0DD2">
      <w:pPr>
        <w:spacing w:line="276" w:lineRule="auto"/>
        <w:ind w:left="1416"/>
        <w:rPr>
          <w:szCs w:val="24"/>
        </w:rPr>
      </w:pPr>
      <w:r w:rsidRPr="001E05E6">
        <w:rPr>
          <w:szCs w:val="24"/>
        </w:rPr>
        <w:t xml:space="preserve">Direction des Approvisionnements et de la Logistique, BP : E 708 Bamako Rue 41, Djicoroni Troukabougou, Bamako, Tel : (+223) 20 70 41 15 / (+223) 20 22 40 30 </w:t>
      </w:r>
    </w:p>
    <w:p w:rsidR="004F0DD2" w:rsidRPr="00B83621" w:rsidRDefault="004F0DD2" w:rsidP="004F0DD2">
      <w:pPr>
        <w:spacing w:line="276" w:lineRule="auto"/>
        <w:rPr>
          <w:sz w:val="16"/>
          <w:szCs w:val="16"/>
        </w:rPr>
      </w:pPr>
    </w:p>
    <w:p w:rsidR="004F0DD2" w:rsidRPr="001E05E6" w:rsidRDefault="004F0DD2" w:rsidP="004F0DD2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0" w:firstLine="0"/>
        <w:rPr>
          <w:szCs w:val="24"/>
        </w:rPr>
      </w:pPr>
      <w:r w:rsidRPr="001E05E6">
        <w:rPr>
          <w:szCs w:val="24"/>
        </w:rPr>
        <w:t>Les exigences en matière de qualifications sont :</w:t>
      </w:r>
    </w:p>
    <w:p w:rsidR="004F0DD2" w:rsidRPr="001E05E6" w:rsidRDefault="004F0DD2" w:rsidP="004F0DD2">
      <w:pPr>
        <w:numPr>
          <w:ilvl w:val="0"/>
          <w:numId w:val="1"/>
        </w:numPr>
        <w:spacing w:line="276" w:lineRule="auto"/>
        <w:rPr>
          <w:szCs w:val="24"/>
        </w:rPr>
      </w:pPr>
      <w:proofErr w:type="gramStart"/>
      <w:r w:rsidRPr="001E05E6">
        <w:rPr>
          <w:szCs w:val="24"/>
        </w:rPr>
        <w:t>avoir</w:t>
      </w:r>
      <w:proofErr w:type="gramEnd"/>
      <w:r w:rsidRPr="001E05E6">
        <w:rPr>
          <w:szCs w:val="24"/>
        </w:rPr>
        <w:t xml:space="preserve"> une société spécialisée dans le domaine du commerce ;</w:t>
      </w:r>
    </w:p>
    <w:p w:rsidR="004F0DD2" w:rsidRDefault="004F0DD2" w:rsidP="004F0DD2">
      <w:pPr>
        <w:numPr>
          <w:ilvl w:val="0"/>
          <w:numId w:val="1"/>
        </w:numPr>
        <w:spacing w:line="276" w:lineRule="auto"/>
        <w:rPr>
          <w:szCs w:val="24"/>
        </w:rPr>
      </w:pPr>
      <w:proofErr w:type="gramStart"/>
      <w:r w:rsidRPr="001E05E6">
        <w:rPr>
          <w:szCs w:val="24"/>
        </w:rPr>
        <w:t>avoir</w:t>
      </w:r>
      <w:proofErr w:type="gramEnd"/>
      <w:r w:rsidRPr="001E05E6">
        <w:rPr>
          <w:szCs w:val="24"/>
        </w:rPr>
        <w:t xml:space="preserve"> exécuté pour la période des </w:t>
      </w:r>
      <w:r>
        <w:rPr>
          <w:szCs w:val="24"/>
        </w:rPr>
        <w:t>trois</w:t>
      </w:r>
      <w:r w:rsidRPr="001E05E6">
        <w:rPr>
          <w:szCs w:val="24"/>
        </w:rPr>
        <w:t xml:space="preserve"> dernières années 2</w:t>
      </w:r>
      <w:r>
        <w:rPr>
          <w:szCs w:val="24"/>
        </w:rPr>
        <w:t xml:space="preserve">022, 2023 et 2024 </w:t>
      </w:r>
      <w:r w:rsidRPr="001E05E6">
        <w:rPr>
          <w:szCs w:val="24"/>
        </w:rPr>
        <w:t xml:space="preserve">au </w:t>
      </w:r>
      <w:r w:rsidRPr="00C6625F">
        <w:rPr>
          <w:b/>
          <w:szCs w:val="24"/>
        </w:rPr>
        <w:t xml:space="preserve">moins </w:t>
      </w:r>
      <w:r>
        <w:rPr>
          <w:b/>
          <w:szCs w:val="24"/>
        </w:rPr>
        <w:t>deux</w:t>
      </w:r>
      <w:r w:rsidRPr="00C6625F">
        <w:rPr>
          <w:b/>
          <w:szCs w:val="24"/>
        </w:rPr>
        <w:t xml:space="preserve"> </w:t>
      </w:r>
      <w:r>
        <w:rPr>
          <w:b/>
          <w:szCs w:val="24"/>
        </w:rPr>
        <w:t>marchés similaires</w:t>
      </w:r>
      <w:r w:rsidRPr="00CD0D6E">
        <w:rPr>
          <w:b/>
          <w:szCs w:val="24"/>
        </w:rPr>
        <w:t xml:space="preserve"> de pièces de rechange hydrauliques ou électromécaniques </w:t>
      </w:r>
      <w:r w:rsidRPr="001E05E6">
        <w:rPr>
          <w:szCs w:val="24"/>
        </w:rPr>
        <w:t>pour le compte d’organisme public, para public ou international, soutenu par les procès-verbaux de réception provisoire ou définitive et les copies des pages de garde et des pages de signature des marchés correspondants</w:t>
      </w:r>
      <w:r>
        <w:rPr>
          <w:szCs w:val="24"/>
        </w:rPr>
        <w:t>.</w:t>
      </w:r>
    </w:p>
    <w:p w:rsidR="004F0DD2" w:rsidRPr="00C771C6" w:rsidRDefault="004F0DD2" w:rsidP="004F0DD2">
      <w:pPr>
        <w:spacing w:line="276" w:lineRule="auto"/>
        <w:ind w:left="720"/>
        <w:rPr>
          <w:sz w:val="16"/>
          <w:szCs w:val="16"/>
        </w:rPr>
      </w:pPr>
    </w:p>
    <w:p w:rsidR="004F0DD2" w:rsidRDefault="004F0DD2" w:rsidP="004F0DD2">
      <w:pPr>
        <w:spacing w:after="200" w:line="276" w:lineRule="auto"/>
        <w:rPr>
          <w:szCs w:val="24"/>
        </w:rPr>
      </w:pPr>
      <w:r w:rsidRPr="001E05E6">
        <w:rPr>
          <w:szCs w:val="24"/>
        </w:rPr>
        <w:t>Le Soumissionnaire</w:t>
      </w:r>
      <w:r w:rsidRPr="001E05E6" w:rsidDel="002A4657">
        <w:rPr>
          <w:szCs w:val="24"/>
        </w:rPr>
        <w:t xml:space="preserve"> </w:t>
      </w:r>
      <w:r w:rsidRPr="001E05E6">
        <w:rPr>
          <w:szCs w:val="24"/>
        </w:rPr>
        <w:t>doit</w:t>
      </w:r>
      <w:r>
        <w:rPr>
          <w:szCs w:val="24"/>
        </w:rPr>
        <w:t> :</w:t>
      </w:r>
    </w:p>
    <w:p w:rsidR="004F0DD2" w:rsidRDefault="004F0DD2" w:rsidP="004F0DD2">
      <w:pPr>
        <w:numPr>
          <w:ilvl w:val="0"/>
          <w:numId w:val="1"/>
        </w:numPr>
        <w:spacing w:line="276" w:lineRule="auto"/>
        <w:rPr>
          <w:szCs w:val="24"/>
        </w:rPr>
      </w:pPr>
      <w:r w:rsidRPr="001E05E6">
        <w:rPr>
          <w:szCs w:val="24"/>
        </w:rPr>
        <w:t xml:space="preserve"> </w:t>
      </w:r>
      <w:proofErr w:type="gramStart"/>
      <w:r w:rsidRPr="001E05E6">
        <w:rPr>
          <w:szCs w:val="24"/>
        </w:rPr>
        <w:t>fournir</w:t>
      </w:r>
      <w:proofErr w:type="gramEnd"/>
      <w:r w:rsidRPr="001E05E6">
        <w:rPr>
          <w:szCs w:val="24"/>
        </w:rPr>
        <w:t xml:space="preserve"> la preuve écrite que les fournitures qu’il propose sont admissibles et conformes aux spécifications techniques du Dossier d’Appel d’Offres (prospectus, fiches techniques, le certificat d’origine ou documents équivalents et catalogues, etc.). </w:t>
      </w:r>
      <w:r>
        <w:rPr>
          <w:szCs w:val="24"/>
        </w:rPr>
        <w:t>L’autorisation du fabricant ou du distributeur agréé est requise.</w:t>
      </w:r>
    </w:p>
    <w:p w:rsidR="004F0DD2" w:rsidRDefault="004F0DD2" w:rsidP="004F0DD2">
      <w:pPr>
        <w:spacing w:line="276" w:lineRule="auto"/>
        <w:ind w:left="720"/>
        <w:rPr>
          <w:szCs w:val="24"/>
        </w:rPr>
      </w:pPr>
    </w:p>
    <w:p w:rsidR="004F0DD2" w:rsidRPr="001E05E6" w:rsidRDefault="004F0DD2" w:rsidP="004F0DD2">
      <w:pPr>
        <w:numPr>
          <w:ilvl w:val="0"/>
          <w:numId w:val="1"/>
        </w:numPr>
        <w:spacing w:line="276" w:lineRule="auto"/>
        <w:rPr>
          <w:i/>
          <w:iCs/>
          <w:szCs w:val="24"/>
        </w:rPr>
      </w:pPr>
      <w:proofErr w:type="gramStart"/>
      <w:r w:rsidRPr="009E0427">
        <w:rPr>
          <w:szCs w:val="24"/>
        </w:rPr>
        <w:t>avoir</w:t>
      </w:r>
      <w:proofErr w:type="gramEnd"/>
      <w:r w:rsidRPr="009E0427">
        <w:rPr>
          <w:szCs w:val="24"/>
        </w:rPr>
        <w:t xml:space="preserve"> un chiffre d’affaires moyen des années</w:t>
      </w:r>
      <w:r>
        <w:rPr>
          <w:szCs w:val="24"/>
        </w:rPr>
        <w:t xml:space="preserve"> </w:t>
      </w:r>
      <w:r w:rsidRPr="009E0427">
        <w:rPr>
          <w:szCs w:val="24"/>
        </w:rPr>
        <w:t>202</w:t>
      </w:r>
      <w:r>
        <w:rPr>
          <w:szCs w:val="24"/>
        </w:rPr>
        <w:t xml:space="preserve">2, </w:t>
      </w:r>
      <w:r w:rsidRPr="009E0427">
        <w:rPr>
          <w:szCs w:val="24"/>
        </w:rPr>
        <w:t>202</w:t>
      </w:r>
      <w:r>
        <w:rPr>
          <w:szCs w:val="24"/>
        </w:rPr>
        <w:t>3 et 2024</w:t>
      </w:r>
      <w:r w:rsidRPr="009E0427">
        <w:rPr>
          <w:szCs w:val="24"/>
        </w:rPr>
        <w:t xml:space="preserve"> au moins égal à</w:t>
      </w:r>
      <w:r w:rsidRPr="009E0427">
        <w:rPr>
          <w:b/>
          <w:szCs w:val="24"/>
        </w:rPr>
        <w:t xml:space="preserve"> </w:t>
      </w:r>
      <w:r>
        <w:rPr>
          <w:b/>
          <w:szCs w:val="24"/>
        </w:rPr>
        <w:t>140</w:t>
      </w:r>
      <w:r w:rsidRPr="009E0427">
        <w:rPr>
          <w:b/>
          <w:szCs w:val="24"/>
        </w:rPr>
        <w:t xml:space="preserve"> millions de FCFA</w:t>
      </w:r>
      <w:r w:rsidRPr="009E0427">
        <w:rPr>
          <w:szCs w:val="24"/>
        </w:rPr>
        <w:t xml:space="preserve">, prouvé par les états financiers (bilans, extrait des bilans et comptes d’exploitation de la période indiquée) </w:t>
      </w:r>
      <w:r w:rsidRPr="009E0427">
        <w:rPr>
          <w:szCs w:val="24"/>
          <w:lang w:val="fr-CA"/>
        </w:rPr>
        <w:t xml:space="preserve">certifiés par un expert-comptable agréé ou attestés </w:t>
      </w:r>
      <w:r w:rsidRPr="009E0427">
        <w:rPr>
          <w:szCs w:val="24"/>
          <w:lang w:val="fr-CA"/>
        </w:rPr>
        <w:lastRenderedPageBreak/>
        <w:t>par un comptable</w:t>
      </w:r>
      <w:r w:rsidRPr="001E05E6">
        <w:rPr>
          <w:szCs w:val="24"/>
          <w:lang w:val="fr-CA"/>
        </w:rPr>
        <w:t xml:space="preserve"> agréé inscrit à l’Ordre, desquels on peut tirer les chiffres d’affaires considérés. Sur ces bilans doit figurer la mention suivante apposée par le service compétent des Impôts </w:t>
      </w:r>
      <w:r w:rsidRPr="001E05E6">
        <w:rPr>
          <w:b/>
          <w:szCs w:val="24"/>
          <w:lang w:val="fr-CA"/>
        </w:rPr>
        <w:t>« Bilans ou extrait de bilans conformes aux déclarations souscrites au service des Impôts ».</w:t>
      </w:r>
    </w:p>
    <w:p w:rsidR="004F0DD2" w:rsidRPr="00C771C6" w:rsidRDefault="004F0DD2" w:rsidP="004F0DD2">
      <w:pPr>
        <w:spacing w:line="276" w:lineRule="auto"/>
        <w:rPr>
          <w:sz w:val="16"/>
          <w:szCs w:val="16"/>
        </w:rPr>
      </w:pPr>
    </w:p>
    <w:p w:rsidR="004F0DD2" w:rsidRPr="001E05E6" w:rsidRDefault="004F0DD2" w:rsidP="004F0DD2">
      <w:pPr>
        <w:spacing w:line="276" w:lineRule="auto"/>
        <w:rPr>
          <w:szCs w:val="24"/>
        </w:rPr>
      </w:pPr>
      <w:r w:rsidRPr="001E05E6">
        <w:rPr>
          <w:szCs w:val="24"/>
        </w:rPr>
        <w:t xml:space="preserve">Les sociétés nouvellement créées, c'est-à-dire celles </w:t>
      </w:r>
      <w:r w:rsidRPr="001E05E6">
        <w:rPr>
          <w:szCs w:val="24"/>
          <w:lang w:val="fr-CA"/>
        </w:rPr>
        <w:t>dont la date d’établissement du premier bilan n’est pas arrivée à la date de dépôt des offres, pour prouver leur qualification pour exécuter le marché, doivent </w:t>
      </w:r>
      <w:r w:rsidRPr="001E05E6">
        <w:rPr>
          <w:szCs w:val="24"/>
        </w:rPr>
        <w:t xml:space="preserve">fournir </w:t>
      </w:r>
      <w:r w:rsidRPr="001E05E6">
        <w:rPr>
          <w:szCs w:val="24"/>
          <w:lang w:val="fr-CA"/>
        </w:rPr>
        <w:t xml:space="preserve">soit une attestation dans laquelle la banque atteste que le candidat dispose de liquidité </w:t>
      </w:r>
      <w:r w:rsidRPr="009E0427">
        <w:rPr>
          <w:szCs w:val="24"/>
          <w:lang w:val="fr-CA"/>
        </w:rPr>
        <w:t xml:space="preserve">au moins égale à </w:t>
      </w:r>
      <w:r>
        <w:rPr>
          <w:b/>
          <w:szCs w:val="24"/>
          <w:lang w:val="fr-CA"/>
        </w:rPr>
        <w:t>125</w:t>
      </w:r>
      <w:r w:rsidRPr="009E0427">
        <w:rPr>
          <w:b/>
          <w:szCs w:val="24"/>
          <w:lang w:val="fr-CA"/>
        </w:rPr>
        <w:t xml:space="preserve"> millions de FCFA</w:t>
      </w:r>
      <w:r w:rsidRPr="009E0427">
        <w:rPr>
          <w:szCs w:val="24"/>
          <w:lang w:val="fr-CA"/>
        </w:rPr>
        <w:t xml:space="preserve"> ou un engagement ferme de la banque à accompagner le</w:t>
      </w:r>
      <w:r w:rsidRPr="001E05E6">
        <w:rPr>
          <w:szCs w:val="24"/>
          <w:lang w:val="fr-CA"/>
        </w:rPr>
        <w:t xml:space="preserve"> candidat dans le financement du marché au cas où il sera retenu comme attributaire du marché, conformément à l’annexe 7 de la présente Demande de Renseignements et de Prix à Compétition Ouverte.</w:t>
      </w:r>
    </w:p>
    <w:p w:rsidR="004F0DD2" w:rsidRPr="00B83621" w:rsidRDefault="004F0DD2" w:rsidP="004F0DD2">
      <w:pPr>
        <w:spacing w:line="276" w:lineRule="auto"/>
        <w:rPr>
          <w:sz w:val="16"/>
          <w:szCs w:val="16"/>
        </w:rPr>
      </w:pPr>
    </w:p>
    <w:p w:rsidR="004F0DD2" w:rsidRPr="001E05E6" w:rsidRDefault="004F0DD2" w:rsidP="004F0DD2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0" w:firstLine="0"/>
        <w:rPr>
          <w:szCs w:val="24"/>
        </w:rPr>
      </w:pPr>
      <w:r w:rsidRPr="001E05E6">
        <w:rPr>
          <w:iCs/>
          <w:szCs w:val="24"/>
        </w:rPr>
        <w:t>Les candidats devront joindre à leurs offres les pièces administratives suivantes :</w:t>
      </w:r>
    </w:p>
    <w:p w:rsidR="004F0DD2" w:rsidRPr="001E05E6" w:rsidRDefault="004F0DD2" w:rsidP="004F0DD2">
      <w:pPr>
        <w:numPr>
          <w:ilvl w:val="0"/>
          <w:numId w:val="3"/>
        </w:numPr>
        <w:spacing w:line="276" w:lineRule="auto"/>
        <w:rPr>
          <w:szCs w:val="24"/>
        </w:rPr>
      </w:pPr>
      <w:proofErr w:type="gramStart"/>
      <w:r w:rsidRPr="001E05E6">
        <w:rPr>
          <w:szCs w:val="24"/>
        </w:rPr>
        <w:t>la</w:t>
      </w:r>
      <w:proofErr w:type="gramEnd"/>
      <w:r w:rsidRPr="001E05E6">
        <w:rPr>
          <w:szCs w:val="24"/>
        </w:rPr>
        <w:t xml:space="preserve"> copie certifiée conforme à l’original de l’inscription au registre de commerce ;</w:t>
      </w:r>
    </w:p>
    <w:p w:rsidR="004F0DD2" w:rsidRPr="001E05E6" w:rsidRDefault="004F0DD2" w:rsidP="004F0DD2">
      <w:pPr>
        <w:numPr>
          <w:ilvl w:val="0"/>
          <w:numId w:val="3"/>
        </w:numPr>
        <w:spacing w:line="276" w:lineRule="auto"/>
        <w:rPr>
          <w:szCs w:val="24"/>
        </w:rPr>
      </w:pPr>
      <w:proofErr w:type="gramStart"/>
      <w:r w:rsidRPr="001E05E6">
        <w:rPr>
          <w:szCs w:val="24"/>
        </w:rPr>
        <w:t>la</w:t>
      </w:r>
      <w:proofErr w:type="gramEnd"/>
      <w:r w:rsidRPr="001E05E6">
        <w:rPr>
          <w:szCs w:val="24"/>
        </w:rPr>
        <w:t xml:space="preserve"> Carte d’Identification Fiscale ;</w:t>
      </w:r>
    </w:p>
    <w:p w:rsidR="004F0DD2" w:rsidRPr="001E05E6" w:rsidRDefault="004F0DD2" w:rsidP="004F0DD2">
      <w:pPr>
        <w:numPr>
          <w:ilvl w:val="0"/>
          <w:numId w:val="3"/>
        </w:numPr>
        <w:spacing w:line="276" w:lineRule="auto"/>
        <w:rPr>
          <w:szCs w:val="24"/>
        </w:rPr>
      </w:pPr>
      <w:proofErr w:type="gramStart"/>
      <w:r w:rsidRPr="001E05E6">
        <w:rPr>
          <w:szCs w:val="24"/>
        </w:rPr>
        <w:t>l’original</w:t>
      </w:r>
      <w:proofErr w:type="gramEnd"/>
      <w:r w:rsidRPr="001E05E6">
        <w:rPr>
          <w:szCs w:val="24"/>
        </w:rPr>
        <w:t xml:space="preserve"> ou la copie certifiée conforme à l’original du quitus fiscal à jour ;</w:t>
      </w:r>
    </w:p>
    <w:p w:rsidR="004F0DD2" w:rsidRPr="001E05E6" w:rsidRDefault="004F0DD2" w:rsidP="004F0DD2">
      <w:pPr>
        <w:numPr>
          <w:ilvl w:val="0"/>
          <w:numId w:val="3"/>
        </w:numPr>
        <w:spacing w:line="276" w:lineRule="auto"/>
        <w:rPr>
          <w:szCs w:val="24"/>
        </w:rPr>
      </w:pPr>
      <w:proofErr w:type="gramStart"/>
      <w:r w:rsidRPr="001E05E6">
        <w:rPr>
          <w:szCs w:val="24"/>
        </w:rPr>
        <w:t>le</w:t>
      </w:r>
      <w:proofErr w:type="gramEnd"/>
      <w:r w:rsidRPr="001E05E6">
        <w:rPr>
          <w:szCs w:val="24"/>
        </w:rPr>
        <w:t xml:space="preserve"> certificat de non faillite datant de moins de trois (3) mois ;</w:t>
      </w:r>
    </w:p>
    <w:p w:rsidR="004F0DD2" w:rsidRPr="001E05E6" w:rsidRDefault="004F0DD2" w:rsidP="004F0DD2">
      <w:pPr>
        <w:numPr>
          <w:ilvl w:val="0"/>
          <w:numId w:val="3"/>
        </w:numPr>
        <w:spacing w:line="276" w:lineRule="auto"/>
        <w:rPr>
          <w:szCs w:val="24"/>
        </w:rPr>
      </w:pPr>
      <w:r w:rsidRPr="001E05E6">
        <w:rPr>
          <w:szCs w:val="24"/>
        </w:rPr>
        <w:t>La procuration du signataire de la soumission (le cas échéant) ;</w:t>
      </w:r>
    </w:p>
    <w:p w:rsidR="004F0DD2" w:rsidRPr="00B83621" w:rsidRDefault="004F0DD2" w:rsidP="004F0DD2">
      <w:pPr>
        <w:spacing w:line="276" w:lineRule="auto"/>
        <w:rPr>
          <w:iCs/>
          <w:sz w:val="16"/>
          <w:szCs w:val="16"/>
        </w:rPr>
      </w:pPr>
    </w:p>
    <w:p w:rsidR="004F0DD2" w:rsidRPr="001E05E6" w:rsidRDefault="004F0DD2" w:rsidP="004F0DD2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0" w:firstLine="0"/>
        <w:rPr>
          <w:szCs w:val="24"/>
        </w:rPr>
      </w:pPr>
      <w:r w:rsidRPr="001E05E6">
        <w:rPr>
          <w:szCs w:val="24"/>
        </w:rPr>
        <w:t xml:space="preserve">Les candidats intéressés peuvent consulter gratuitement le dossier d’Appel à la Concurrence complet ou le retirer à titre onéreux contre paiement d’une somme non remboursable de </w:t>
      </w:r>
      <w:r>
        <w:rPr>
          <w:b/>
          <w:szCs w:val="24"/>
        </w:rPr>
        <w:t xml:space="preserve">cinquante </w:t>
      </w:r>
      <w:r w:rsidRPr="001E05E6">
        <w:rPr>
          <w:b/>
          <w:szCs w:val="24"/>
        </w:rPr>
        <w:t>mille (</w:t>
      </w:r>
      <w:r>
        <w:rPr>
          <w:b/>
          <w:szCs w:val="24"/>
        </w:rPr>
        <w:t>50</w:t>
      </w:r>
      <w:r w:rsidRPr="001E05E6">
        <w:rPr>
          <w:b/>
          <w:szCs w:val="24"/>
        </w:rPr>
        <w:t xml:space="preserve"> 000) Francs CFA </w:t>
      </w:r>
      <w:r w:rsidRPr="001E05E6">
        <w:rPr>
          <w:szCs w:val="24"/>
        </w:rPr>
        <w:t xml:space="preserve">à l’adresse mentionnée ci-après : </w:t>
      </w:r>
    </w:p>
    <w:p w:rsidR="004F0DD2" w:rsidRPr="001E05E6" w:rsidRDefault="004F0DD2" w:rsidP="004F0DD2">
      <w:pPr>
        <w:pStyle w:val="Paragraphedeliste"/>
        <w:spacing w:line="276" w:lineRule="auto"/>
        <w:ind w:left="1416"/>
        <w:jc w:val="both"/>
        <w:rPr>
          <w:szCs w:val="24"/>
        </w:rPr>
      </w:pPr>
      <w:r w:rsidRPr="001E05E6">
        <w:rPr>
          <w:szCs w:val="24"/>
        </w:rPr>
        <w:t>Société Malienne de Gestion de l’Eau Potable SA</w:t>
      </w:r>
    </w:p>
    <w:p w:rsidR="004F0DD2" w:rsidRPr="001E05E6" w:rsidRDefault="004F0DD2" w:rsidP="004F0DD2">
      <w:pPr>
        <w:pStyle w:val="Paragraphedeliste"/>
        <w:spacing w:line="276" w:lineRule="auto"/>
        <w:ind w:left="1416"/>
        <w:jc w:val="both"/>
        <w:rPr>
          <w:szCs w:val="24"/>
        </w:rPr>
      </w:pPr>
      <w:r w:rsidRPr="001E05E6">
        <w:rPr>
          <w:szCs w:val="24"/>
        </w:rPr>
        <w:t>Caisse de la Direction Générale, BP : E 708 Bamako Rue 41, Djicoroni Troukabougou, Bamako, Tel : (+223) 20 22 40 30 Fax : (+223) 20 22 55 80.</w:t>
      </w:r>
    </w:p>
    <w:p w:rsidR="004F0DD2" w:rsidRPr="00B83621" w:rsidRDefault="004F0DD2" w:rsidP="004F0DD2">
      <w:pPr>
        <w:spacing w:line="276" w:lineRule="auto"/>
        <w:rPr>
          <w:sz w:val="16"/>
          <w:szCs w:val="16"/>
        </w:rPr>
      </w:pPr>
    </w:p>
    <w:p w:rsidR="004F0DD2" w:rsidRPr="009D01B8" w:rsidRDefault="004F0DD2" w:rsidP="004F0DD2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0" w:firstLine="0"/>
        <w:rPr>
          <w:szCs w:val="24"/>
        </w:rPr>
      </w:pPr>
      <w:r w:rsidRPr="009D01B8">
        <w:rPr>
          <w:szCs w:val="24"/>
        </w:rPr>
        <w:t xml:space="preserve">Les offres devront être soumises à l’adresse ci-dessus au plus tard le </w:t>
      </w:r>
      <w:r>
        <w:rPr>
          <w:b/>
          <w:i/>
          <w:szCs w:val="24"/>
        </w:rPr>
        <w:t>……</w:t>
      </w:r>
      <w:proofErr w:type="gramStart"/>
      <w:r>
        <w:rPr>
          <w:b/>
          <w:i/>
          <w:szCs w:val="24"/>
        </w:rPr>
        <w:t>…….</w:t>
      </w:r>
      <w:proofErr w:type="gramEnd"/>
      <w:r>
        <w:rPr>
          <w:b/>
          <w:i/>
          <w:szCs w:val="24"/>
        </w:rPr>
        <w:t>.</w:t>
      </w:r>
      <w:r w:rsidRPr="009D01B8">
        <w:rPr>
          <w:b/>
          <w:i/>
          <w:szCs w:val="24"/>
        </w:rPr>
        <w:t xml:space="preserve"> 202</w:t>
      </w:r>
      <w:r>
        <w:rPr>
          <w:b/>
          <w:i/>
          <w:szCs w:val="24"/>
        </w:rPr>
        <w:t>5</w:t>
      </w:r>
      <w:r w:rsidRPr="009D01B8">
        <w:rPr>
          <w:i/>
          <w:szCs w:val="24"/>
        </w:rPr>
        <w:t xml:space="preserve"> </w:t>
      </w:r>
      <w:r w:rsidRPr="009D01B8">
        <w:rPr>
          <w:b/>
          <w:i/>
          <w:szCs w:val="24"/>
        </w:rPr>
        <w:t>à 10 heures.</w:t>
      </w:r>
      <w:r w:rsidRPr="009D01B8">
        <w:rPr>
          <w:b/>
          <w:szCs w:val="24"/>
        </w:rPr>
        <w:t xml:space="preserve"> </w:t>
      </w:r>
      <w:r w:rsidRPr="009D01B8">
        <w:rPr>
          <w:szCs w:val="24"/>
        </w:rPr>
        <w:t xml:space="preserve">Les offres remises en retard ne seront pas acceptées. </w:t>
      </w:r>
    </w:p>
    <w:p w:rsidR="004F0DD2" w:rsidRPr="009D01B8" w:rsidRDefault="004F0DD2" w:rsidP="004F0DD2">
      <w:pPr>
        <w:spacing w:line="276" w:lineRule="auto"/>
        <w:rPr>
          <w:sz w:val="16"/>
          <w:szCs w:val="16"/>
        </w:rPr>
      </w:pPr>
    </w:p>
    <w:p w:rsidR="004F0DD2" w:rsidRPr="009D01B8" w:rsidRDefault="004F0DD2" w:rsidP="004F0DD2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0" w:firstLine="0"/>
        <w:rPr>
          <w:szCs w:val="24"/>
        </w:rPr>
      </w:pPr>
      <w:r w:rsidRPr="009D01B8">
        <w:rPr>
          <w:szCs w:val="24"/>
        </w:rPr>
        <w:t xml:space="preserve">Les offres doivent comprendre </w:t>
      </w:r>
      <w:r w:rsidRPr="009D01B8">
        <w:rPr>
          <w:iCs/>
          <w:szCs w:val="24"/>
        </w:rPr>
        <w:t>une garantie de soumission</w:t>
      </w:r>
      <w:r w:rsidRPr="009D01B8">
        <w:rPr>
          <w:szCs w:val="24"/>
        </w:rPr>
        <w:t xml:space="preserve"> d’un montant </w:t>
      </w:r>
      <w:r>
        <w:rPr>
          <w:szCs w:val="24"/>
        </w:rPr>
        <w:t xml:space="preserve">de </w:t>
      </w:r>
      <w:r>
        <w:rPr>
          <w:b/>
          <w:i/>
          <w:szCs w:val="24"/>
        </w:rPr>
        <w:t>quatre</w:t>
      </w:r>
      <w:r w:rsidRPr="009D01B8">
        <w:rPr>
          <w:b/>
          <w:i/>
          <w:szCs w:val="24"/>
        </w:rPr>
        <w:t xml:space="preserve"> million</w:t>
      </w:r>
      <w:r>
        <w:rPr>
          <w:b/>
          <w:i/>
          <w:szCs w:val="24"/>
        </w:rPr>
        <w:t>s</w:t>
      </w:r>
      <w:r w:rsidRPr="009D01B8">
        <w:rPr>
          <w:b/>
          <w:i/>
          <w:szCs w:val="24"/>
        </w:rPr>
        <w:t xml:space="preserve"> (</w:t>
      </w:r>
      <w:r>
        <w:rPr>
          <w:b/>
          <w:i/>
          <w:szCs w:val="24"/>
        </w:rPr>
        <w:t xml:space="preserve">4 000 </w:t>
      </w:r>
      <w:r w:rsidRPr="009D01B8">
        <w:rPr>
          <w:b/>
          <w:i/>
          <w:szCs w:val="24"/>
        </w:rPr>
        <w:t>000) francs CFA</w:t>
      </w:r>
      <w:r w:rsidRPr="009D01B8">
        <w:rPr>
          <w:szCs w:val="24"/>
        </w:rPr>
        <w:t>.</w:t>
      </w:r>
    </w:p>
    <w:p w:rsidR="004F0DD2" w:rsidRPr="009D01B8" w:rsidRDefault="004F0DD2" w:rsidP="004F0DD2">
      <w:pPr>
        <w:spacing w:line="276" w:lineRule="auto"/>
        <w:rPr>
          <w:sz w:val="16"/>
          <w:szCs w:val="16"/>
        </w:rPr>
      </w:pPr>
    </w:p>
    <w:p w:rsidR="004F0DD2" w:rsidRPr="009D01B8" w:rsidRDefault="004F0DD2" w:rsidP="004F0DD2">
      <w:pPr>
        <w:numPr>
          <w:ilvl w:val="0"/>
          <w:numId w:val="2"/>
        </w:numPr>
        <w:tabs>
          <w:tab w:val="clear" w:pos="720"/>
          <w:tab w:val="left" w:pos="284"/>
          <w:tab w:val="left" w:pos="426"/>
        </w:tabs>
        <w:spacing w:line="276" w:lineRule="auto"/>
        <w:ind w:left="0" w:firstLine="0"/>
        <w:rPr>
          <w:szCs w:val="24"/>
        </w:rPr>
      </w:pPr>
      <w:r w:rsidRPr="009D01B8">
        <w:rPr>
          <w:szCs w:val="24"/>
        </w:rPr>
        <w:t>Les Soumissionnaires resteront engagés par leur offre pendant une période de</w:t>
      </w:r>
      <w:r w:rsidRPr="009D01B8">
        <w:rPr>
          <w:b/>
          <w:szCs w:val="24"/>
        </w:rPr>
        <w:t xml:space="preserve"> </w:t>
      </w:r>
      <w:r>
        <w:rPr>
          <w:b/>
          <w:szCs w:val="24"/>
        </w:rPr>
        <w:t>soixante</w:t>
      </w:r>
      <w:r w:rsidRPr="009D01B8">
        <w:rPr>
          <w:b/>
          <w:szCs w:val="24"/>
        </w:rPr>
        <w:t xml:space="preserve"> (</w:t>
      </w:r>
      <w:r>
        <w:rPr>
          <w:b/>
          <w:szCs w:val="24"/>
        </w:rPr>
        <w:t>6</w:t>
      </w:r>
      <w:r w:rsidRPr="009D01B8">
        <w:rPr>
          <w:b/>
          <w:szCs w:val="24"/>
        </w:rPr>
        <w:t>0) jours</w:t>
      </w:r>
      <w:r w:rsidRPr="009D01B8">
        <w:rPr>
          <w:szCs w:val="24"/>
        </w:rPr>
        <w:t xml:space="preserve"> à compter de la date limite du dépôt des offres.</w:t>
      </w:r>
    </w:p>
    <w:p w:rsidR="004F0DD2" w:rsidRPr="009D01B8" w:rsidRDefault="004F0DD2" w:rsidP="004F0DD2">
      <w:pPr>
        <w:spacing w:line="276" w:lineRule="auto"/>
        <w:rPr>
          <w:sz w:val="16"/>
          <w:szCs w:val="16"/>
        </w:rPr>
      </w:pPr>
    </w:p>
    <w:p w:rsidR="004F0DD2" w:rsidRPr="009D01B8" w:rsidRDefault="004F0DD2" w:rsidP="004F0DD2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0" w:firstLine="0"/>
        <w:rPr>
          <w:szCs w:val="24"/>
        </w:rPr>
      </w:pPr>
      <w:r w:rsidRPr="009D01B8">
        <w:rPr>
          <w:szCs w:val="24"/>
        </w:rPr>
        <w:t xml:space="preserve">Les offres seront ouvertes en présence des représentants des soumissionnaires qui souhaitent assister à l’ouverture des plis </w:t>
      </w:r>
      <w:r>
        <w:rPr>
          <w:b/>
          <w:i/>
          <w:szCs w:val="24"/>
        </w:rPr>
        <w:t>………. …….</w:t>
      </w:r>
      <w:r w:rsidRPr="009D01B8">
        <w:rPr>
          <w:b/>
          <w:i/>
          <w:szCs w:val="24"/>
        </w:rPr>
        <w:t xml:space="preserve"> 202</w:t>
      </w:r>
      <w:r>
        <w:rPr>
          <w:b/>
          <w:i/>
          <w:szCs w:val="24"/>
        </w:rPr>
        <w:t>5</w:t>
      </w:r>
      <w:r w:rsidRPr="009D01B8">
        <w:rPr>
          <w:i/>
          <w:szCs w:val="24"/>
        </w:rPr>
        <w:t xml:space="preserve"> </w:t>
      </w:r>
      <w:r w:rsidRPr="009D01B8">
        <w:rPr>
          <w:b/>
          <w:i/>
          <w:szCs w:val="24"/>
        </w:rPr>
        <w:t>à 10 heures</w:t>
      </w:r>
      <w:r w:rsidRPr="009D01B8">
        <w:rPr>
          <w:szCs w:val="24"/>
        </w:rPr>
        <w:t xml:space="preserve"> dans la Salle de réunion de la Direction Générale de la SOMAGEP-SA, sise Rue 41, Djicoroni Troukabougou, Bamako.</w:t>
      </w:r>
    </w:p>
    <w:p w:rsidR="004F0DD2" w:rsidRPr="001E05E6" w:rsidRDefault="004F0DD2" w:rsidP="004F0DD2">
      <w:pPr>
        <w:rPr>
          <w:szCs w:val="24"/>
        </w:rPr>
      </w:pPr>
    </w:p>
    <w:p w:rsidR="004F0DD2" w:rsidRDefault="004F0DD2" w:rsidP="004F0DD2">
      <w:pPr>
        <w:ind w:left="720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La Directrice Générale</w:t>
      </w:r>
    </w:p>
    <w:p w:rsidR="004F0DD2" w:rsidRDefault="004F0DD2" w:rsidP="004F0DD2">
      <w:pPr>
        <w:ind w:left="720"/>
        <w:jc w:val="center"/>
        <w:rPr>
          <w:b/>
          <w:szCs w:val="24"/>
        </w:rPr>
      </w:pPr>
    </w:p>
    <w:p w:rsidR="004F0DD2" w:rsidRDefault="004F0DD2" w:rsidP="004F0DD2">
      <w:pPr>
        <w:ind w:firstLine="709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</w:t>
      </w:r>
    </w:p>
    <w:p w:rsidR="004F0DD2" w:rsidRDefault="004F0DD2" w:rsidP="004F0DD2">
      <w:pPr>
        <w:tabs>
          <w:tab w:val="left" w:pos="5565"/>
          <w:tab w:val="center" w:pos="6119"/>
        </w:tabs>
        <w:ind w:left="2123" w:firstLine="709"/>
        <w:jc w:val="left"/>
        <w:rPr>
          <w:b/>
          <w:bCs/>
          <w:szCs w:val="24"/>
        </w:rPr>
      </w:pPr>
      <w:r>
        <w:rPr>
          <w:b/>
          <w:bCs/>
          <w:szCs w:val="24"/>
        </w:rPr>
        <w:tab/>
        <w:t xml:space="preserve">   </w:t>
      </w:r>
    </w:p>
    <w:p w:rsidR="004F0DD2" w:rsidRPr="00761A3F" w:rsidRDefault="004F0DD2" w:rsidP="004F0DD2">
      <w:pPr>
        <w:spacing w:line="276" w:lineRule="auto"/>
        <w:ind w:left="2123" w:firstLine="709"/>
        <w:jc w:val="center"/>
        <w:rPr>
          <w:rFonts w:eastAsiaTheme="minorHAnsi"/>
          <w:b/>
          <w:bCs/>
          <w:szCs w:val="24"/>
          <w:u w:val="single"/>
          <w:lang w:eastAsia="en-US"/>
        </w:rPr>
      </w:pPr>
      <w:r w:rsidRPr="00761A3F">
        <w:rPr>
          <w:rFonts w:eastAsiaTheme="minorHAnsi"/>
          <w:b/>
          <w:bCs/>
          <w:szCs w:val="24"/>
          <w:u w:val="single"/>
          <w:lang w:eastAsia="en-US"/>
        </w:rPr>
        <w:t>Mme BOCOUM Fatoumata Siragata TRAORE</w:t>
      </w:r>
    </w:p>
    <w:p w:rsidR="004F0DD2" w:rsidRPr="00761A3F" w:rsidRDefault="004F0DD2" w:rsidP="004F0DD2">
      <w:pPr>
        <w:spacing w:after="160" w:line="259" w:lineRule="auto"/>
        <w:ind w:firstLine="709"/>
        <w:jc w:val="center"/>
        <w:rPr>
          <w:rFonts w:eastAsiaTheme="minorHAnsi"/>
          <w:b/>
          <w:bCs/>
          <w:i/>
          <w:szCs w:val="24"/>
          <w:lang w:eastAsia="en-US"/>
        </w:rPr>
      </w:pPr>
      <w:r w:rsidRPr="00761A3F">
        <w:rPr>
          <w:rFonts w:eastAsiaTheme="minorHAnsi"/>
          <w:b/>
          <w:bCs/>
          <w:i/>
          <w:szCs w:val="24"/>
          <w:lang w:eastAsia="en-US"/>
        </w:rPr>
        <w:lastRenderedPageBreak/>
        <w:t xml:space="preserve">                                      Chevalier de l’Ordre National                      </w:t>
      </w:r>
    </w:p>
    <w:p w:rsidR="00273B51" w:rsidRDefault="00A94CFE"/>
    <w:sectPr w:rsidR="00273B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CFE" w:rsidRDefault="00A94CFE" w:rsidP="004F0DD2">
      <w:r>
        <w:separator/>
      </w:r>
    </w:p>
  </w:endnote>
  <w:endnote w:type="continuationSeparator" w:id="0">
    <w:p w:rsidR="00A94CFE" w:rsidRDefault="00A94CFE" w:rsidP="004F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CFE" w:rsidRDefault="00A94CFE" w:rsidP="004F0DD2">
      <w:r>
        <w:separator/>
      </w:r>
    </w:p>
  </w:footnote>
  <w:footnote w:type="continuationSeparator" w:id="0">
    <w:p w:rsidR="00A94CFE" w:rsidRDefault="00A94CFE" w:rsidP="004F0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DD2" w:rsidRDefault="004F0DD2" w:rsidP="004F0DD2">
    <w:pPr>
      <w:pStyle w:val="En-tte"/>
      <w:pBdr>
        <w:bottom w:val="single" w:sz="4" w:space="1" w:color="auto"/>
      </w:pBdr>
      <w:spacing w:line="276" w:lineRule="auto"/>
      <w:ind w:right="360"/>
      <w:jc w:val="center"/>
      <w:rPr>
        <w:sz w:val="18"/>
      </w:rPr>
    </w:pPr>
    <w:r>
      <w:rPr>
        <w:sz w:val="18"/>
      </w:rPr>
      <w:t>PASSATION MARCHES EXERCICE 2025</w:t>
    </w:r>
  </w:p>
  <w:p w:rsidR="004F0DD2" w:rsidRDefault="004F0D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E83"/>
    <w:multiLevelType w:val="hybridMultilevel"/>
    <w:tmpl w:val="1E060BC8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720"/>
      </w:pPr>
      <w:rPr>
        <w:rFonts w:ascii="Symbol" w:hAnsi="Symbol"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4ED1FA5"/>
    <w:multiLevelType w:val="hybridMultilevel"/>
    <w:tmpl w:val="DD80F792"/>
    <w:lvl w:ilvl="0" w:tplc="29089F5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sz w:val="24"/>
        <w:szCs w:val="24"/>
      </w:rPr>
    </w:lvl>
    <w:lvl w:ilvl="1" w:tplc="28D82C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93709AA"/>
    <w:multiLevelType w:val="hybridMultilevel"/>
    <w:tmpl w:val="F704F144"/>
    <w:lvl w:ilvl="0" w:tplc="DD48CB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D2"/>
    <w:rsid w:val="004F0DD2"/>
    <w:rsid w:val="00A94CFE"/>
    <w:rsid w:val="00E67305"/>
    <w:rsid w:val="00F1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75D95-8B02-4939-9416-51C34280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D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4F0DD2"/>
    <w:pPr>
      <w:suppressAutoHyphens/>
      <w:jc w:val="center"/>
      <w:outlineLvl w:val="0"/>
    </w:pPr>
    <w:rPr>
      <w:b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F0D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F0DD2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F0D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paragraph" w:styleId="Paragraphedeliste">
    <w:name w:val="List Paragraph"/>
    <w:aliases w:val="Bullet Number,lp1,Texte-Nelite,Liste à puce - Normal,Bullet List,FooterText,numbered,List Paragraph11,Bulletr List Paragraph,列出段落,列出段落1,List Paragraph2,List Paragraph21,Listeafsnit1,Parágrafo da Lista1"/>
    <w:basedOn w:val="Normal"/>
    <w:link w:val="ParagraphedelisteCar"/>
    <w:qFormat/>
    <w:rsid w:val="004F0DD2"/>
    <w:pPr>
      <w:ind w:left="720"/>
      <w:contextualSpacing/>
      <w:jc w:val="left"/>
    </w:pPr>
  </w:style>
  <w:style w:type="character" w:customStyle="1" w:styleId="ParagraphedelisteCar">
    <w:name w:val="Paragraphe de liste Car"/>
    <w:aliases w:val="Bullet Number Car,lp1 Car,Texte-Nelite Car,Liste à puce - Normal Car,Bullet List Car,FooterText Car,numbered Car,List Paragraph11 Car,Bulletr List Paragraph Car,列出段落 Car,列出段落1 Car,List Paragraph2 Car,List Paragraph21 Car"/>
    <w:link w:val="Paragraphedeliste"/>
    <w:rsid w:val="004F0DD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F0D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0DD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F0D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0DD2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Abdoulaye A SANGARE</dc:creator>
  <cp:keywords/>
  <dc:description/>
  <cp:lastModifiedBy>Abdoulaye A SANGARE</cp:lastModifiedBy>
  <cp:revision>1</cp:revision>
  <dcterms:created xsi:type="dcterms:W3CDTF">2025-07-24T11:34:00Z</dcterms:created>
  <dcterms:modified xsi:type="dcterms:W3CDTF">2025-07-24T11:35:00Z</dcterms:modified>
</cp:coreProperties>
</file>