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3ED6" w14:textId="30EEA191" w:rsidR="007F3B6E" w:rsidRPr="005D6F45" w:rsidRDefault="007F3B6E" w:rsidP="007F3B6E">
      <w:pPr>
        <w:pStyle w:val="Style4"/>
        <w:numPr>
          <w:ilvl w:val="0"/>
          <w:numId w:val="0"/>
        </w:numPr>
        <w:ind w:left="360" w:hanging="705"/>
        <w:outlineLvl w:val="9"/>
      </w:pPr>
      <w:r w:rsidRPr="005D6F45">
        <w:t xml:space="preserve"> Avis d’Appel d’Offres </w:t>
      </w:r>
      <w:r>
        <w:t>Ouvert</w:t>
      </w:r>
      <w:r w:rsidRPr="005D6F45">
        <w:t xml:space="preserve"> (AAO</w:t>
      </w:r>
      <w:r>
        <w:t>O</w:t>
      </w:r>
      <w:r w:rsidRPr="005D6F45">
        <w:t>)</w:t>
      </w:r>
    </w:p>
    <w:p w14:paraId="337259AE" w14:textId="77777777" w:rsidR="007F3B6E" w:rsidRPr="005D6F45" w:rsidRDefault="007F3B6E" w:rsidP="007F3B6E">
      <w:pPr>
        <w:jc w:val="center"/>
        <w:rPr>
          <w:b/>
        </w:rPr>
      </w:pPr>
      <w:r w:rsidRPr="005D6F45">
        <w:rPr>
          <w:b/>
        </w:rPr>
        <w:t>Ministère de l’Économie et des Finances</w:t>
      </w:r>
    </w:p>
    <w:p w14:paraId="44E73C0E" w14:textId="77777777" w:rsidR="007F3B6E" w:rsidRPr="005D6F45" w:rsidRDefault="007F3B6E" w:rsidP="007F3B6E">
      <w:pPr>
        <w:jc w:val="center"/>
        <w:rPr>
          <w:b/>
        </w:rPr>
      </w:pPr>
      <w:r w:rsidRPr="005D6F45">
        <w:rPr>
          <w:b/>
          <w:highlight w:val="yellow"/>
        </w:rPr>
        <w:t>AAO</w:t>
      </w:r>
      <w:r>
        <w:rPr>
          <w:b/>
          <w:highlight w:val="yellow"/>
        </w:rPr>
        <w:t>O</w:t>
      </w:r>
      <w:r w:rsidRPr="005D6F45">
        <w:rPr>
          <w:b/>
          <w:highlight w:val="yellow"/>
        </w:rPr>
        <w:t xml:space="preserve"> n°00</w:t>
      </w:r>
      <w:r>
        <w:rPr>
          <w:b/>
          <w:highlight w:val="yellow"/>
        </w:rPr>
        <w:t>5/</w:t>
      </w:r>
      <w:r w:rsidRPr="005D6F45">
        <w:rPr>
          <w:b/>
          <w:highlight w:val="yellow"/>
        </w:rPr>
        <w:t>MEF-DFM-202</w:t>
      </w:r>
      <w:r>
        <w:rPr>
          <w:b/>
        </w:rPr>
        <w:t>6</w:t>
      </w:r>
    </w:p>
    <w:p w14:paraId="75F7C8BD" w14:textId="77777777" w:rsidR="007F3B6E" w:rsidRPr="005D6F45" w:rsidRDefault="007F3B6E" w:rsidP="007F3B6E">
      <w:pPr>
        <w:jc w:val="center"/>
        <w:rPr>
          <w:b/>
          <w:color w:val="FF0000"/>
        </w:rPr>
      </w:pPr>
    </w:p>
    <w:p w14:paraId="3DDCEAD4" w14:textId="77777777" w:rsidR="007F3B6E" w:rsidRDefault="007F3B6E" w:rsidP="007F3B6E">
      <w:r w:rsidRPr="005D6F45">
        <w:rPr>
          <w:rFonts w:cs="Times New Roman"/>
          <w:b/>
        </w:rPr>
        <w:t xml:space="preserve">Cet Avis d’Appel d’Offres fait suite à l’Avis Général de Passation des Marchés paru dans </w:t>
      </w:r>
      <w:r w:rsidRPr="005D6F45">
        <w:rPr>
          <w:rFonts w:cs="Times New Roman"/>
          <w:b/>
          <w:highlight w:val="yellow"/>
        </w:rPr>
        <w:t xml:space="preserve">L’ESSOR </w:t>
      </w:r>
      <w:r>
        <w:rPr>
          <w:b/>
        </w:rPr>
        <w:t>n°</w:t>
      </w:r>
      <w:r w:rsidRPr="006C1E35">
        <w:rPr>
          <w:b/>
        </w:rPr>
        <w:t>20</w:t>
      </w:r>
      <w:r>
        <w:rPr>
          <w:b/>
        </w:rPr>
        <w:t>493</w:t>
      </w:r>
      <w:r w:rsidRPr="006C1E35">
        <w:rPr>
          <w:b/>
        </w:rPr>
        <w:t xml:space="preserve"> du </w:t>
      </w:r>
      <w:r>
        <w:rPr>
          <w:b/>
        </w:rPr>
        <w:t>16 Octobre</w:t>
      </w:r>
      <w:r w:rsidRPr="006C1E35">
        <w:rPr>
          <w:b/>
        </w:rPr>
        <w:t xml:space="preserve"> 202</w:t>
      </w:r>
      <w:r>
        <w:rPr>
          <w:b/>
        </w:rPr>
        <w:t>5.</w:t>
      </w:r>
    </w:p>
    <w:p w14:paraId="5F299DB5" w14:textId="77777777" w:rsidR="007F3B6E" w:rsidRPr="005D6F45" w:rsidRDefault="007F3B6E" w:rsidP="007F3B6E">
      <w:pPr>
        <w:rPr>
          <w:rFonts w:cs="Times New Roman"/>
          <w:b/>
        </w:rPr>
      </w:pPr>
    </w:p>
    <w:p w14:paraId="5A9408A9" w14:textId="77777777" w:rsidR="007F3B6E" w:rsidRPr="005D6F45" w:rsidRDefault="007F3B6E" w:rsidP="007F3B6E">
      <w:pPr>
        <w:jc w:val="left"/>
      </w:pPr>
      <w:r w:rsidRPr="005D6F45">
        <w:rPr>
          <w:b/>
          <w:u w:val="single"/>
        </w:rPr>
        <w:t>Objet</w:t>
      </w:r>
      <w:r w:rsidRPr="005D6F45">
        <w:rPr>
          <w:b/>
        </w:rPr>
        <w:t xml:space="preserve"> :</w:t>
      </w:r>
      <w:bookmarkStart w:id="0" w:name="_Hlk130546647"/>
      <w:r w:rsidRPr="005D6F45">
        <w:rPr>
          <w:b/>
          <w:szCs w:val="32"/>
        </w:rPr>
        <w:t xml:space="preserve"> </w:t>
      </w:r>
      <w:r>
        <w:rPr>
          <w:rFonts w:cs="Times New Roman"/>
          <w:b/>
        </w:rPr>
        <w:t>Travaux de construction des sites de scanners de KOUREMALE, KADIANA et BENENA</w:t>
      </w:r>
      <w:r w:rsidRPr="005D6F45">
        <w:rPr>
          <w:rFonts w:cs="Times New Roman"/>
          <w:b/>
        </w:rPr>
        <w:t xml:space="preserve"> au profit de la Direction Générale des Douanes</w:t>
      </w:r>
      <w:r w:rsidRPr="005D6F45">
        <w:rPr>
          <w:rFonts w:ascii="Trebuchet MS" w:hAnsi="Trebuchet MS"/>
          <w:b/>
          <w:sz w:val="32"/>
          <w:szCs w:val="32"/>
        </w:rPr>
        <w:t xml:space="preserve"> </w:t>
      </w:r>
      <w:r w:rsidRPr="005D6F45">
        <w:rPr>
          <w:rFonts w:cs="Times New Roman"/>
          <w:b/>
        </w:rPr>
        <w:t>en</w:t>
      </w:r>
      <w:r w:rsidRPr="005D6F45">
        <w:rPr>
          <w:b/>
          <w:szCs w:val="32"/>
        </w:rPr>
        <w:t xml:space="preserve"> </w:t>
      </w:r>
      <w:r>
        <w:rPr>
          <w:b/>
          <w:szCs w:val="32"/>
        </w:rPr>
        <w:t>six (06)</w:t>
      </w:r>
      <w:r w:rsidRPr="005D6F45">
        <w:rPr>
          <w:b/>
          <w:szCs w:val="32"/>
        </w:rPr>
        <w:t xml:space="preserve"> lots :</w:t>
      </w:r>
    </w:p>
    <w:p w14:paraId="7C1D2869" w14:textId="77777777" w:rsidR="007F3B6E" w:rsidRPr="005D6F45" w:rsidRDefault="007F3B6E" w:rsidP="007F3B6E">
      <w:pPr>
        <w:jc w:val="left"/>
      </w:pPr>
    </w:p>
    <w:bookmarkEnd w:id="0"/>
    <w:p w14:paraId="05A44F5D" w14:textId="77777777" w:rsidR="007F3B6E" w:rsidRPr="005D6F45" w:rsidRDefault="007F3B6E" w:rsidP="007F3B6E">
      <w:pPr>
        <w:rPr>
          <w:b/>
          <w:szCs w:val="32"/>
        </w:rPr>
      </w:pPr>
      <w:r w:rsidRPr="005D6F45">
        <w:rPr>
          <w:b/>
          <w:szCs w:val="32"/>
        </w:rPr>
        <w:t xml:space="preserve">Lot 1 : Travaux d’aménagements de la voirie et réseaux divers (Site de </w:t>
      </w:r>
      <w:proofErr w:type="spellStart"/>
      <w:r w:rsidRPr="005D6F45">
        <w:rPr>
          <w:b/>
          <w:szCs w:val="32"/>
        </w:rPr>
        <w:t>Kouremale</w:t>
      </w:r>
      <w:proofErr w:type="spellEnd"/>
      <w:r w:rsidRPr="005D6F45">
        <w:rPr>
          <w:b/>
          <w:szCs w:val="32"/>
        </w:rPr>
        <w:t>) ;</w:t>
      </w:r>
    </w:p>
    <w:p w14:paraId="0B856925" w14:textId="77777777" w:rsidR="007F3B6E" w:rsidRPr="005D6F45" w:rsidRDefault="007F3B6E" w:rsidP="007F3B6E">
      <w:pPr>
        <w:rPr>
          <w:b/>
          <w:szCs w:val="32"/>
        </w:rPr>
      </w:pPr>
      <w:r w:rsidRPr="005D6F45">
        <w:rPr>
          <w:b/>
          <w:szCs w:val="32"/>
        </w:rPr>
        <w:t xml:space="preserve">Lot 2 : </w:t>
      </w:r>
      <w:bookmarkStart w:id="1" w:name="_Hlk200001191"/>
      <w:r>
        <w:rPr>
          <w:b/>
          <w:szCs w:val="32"/>
        </w:rPr>
        <w:t>Travaux de construction des bâtiments connexes</w:t>
      </w:r>
      <w:r w:rsidRPr="005D6F45">
        <w:rPr>
          <w:b/>
          <w:szCs w:val="32"/>
        </w:rPr>
        <w:t xml:space="preserve"> </w:t>
      </w:r>
      <w:bookmarkEnd w:id="1"/>
      <w:r w:rsidRPr="005D6F45">
        <w:rPr>
          <w:b/>
          <w:szCs w:val="32"/>
        </w:rPr>
        <w:t xml:space="preserve">(Site de </w:t>
      </w:r>
      <w:proofErr w:type="spellStart"/>
      <w:r w:rsidRPr="005D6F45">
        <w:rPr>
          <w:b/>
          <w:szCs w:val="32"/>
        </w:rPr>
        <w:t>Kouremale</w:t>
      </w:r>
      <w:proofErr w:type="spellEnd"/>
      <w:r w:rsidRPr="005D6F45">
        <w:rPr>
          <w:b/>
          <w:szCs w:val="32"/>
        </w:rPr>
        <w:t>) ;</w:t>
      </w:r>
    </w:p>
    <w:p w14:paraId="181F796D" w14:textId="77777777" w:rsidR="007F3B6E" w:rsidRPr="005D6F45" w:rsidRDefault="007F3B6E" w:rsidP="007F3B6E">
      <w:pPr>
        <w:rPr>
          <w:b/>
          <w:szCs w:val="32"/>
        </w:rPr>
      </w:pPr>
      <w:r w:rsidRPr="005D6F45">
        <w:rPr>
          <w:b/>
          <w:szCs w:val="32"/>
        </w:rPr>
        <w:t xml:space="preserve">Lot 3 : Travaux d’aménagements de la voirie et réseaux divers (Site de </w:t>
      </w:r>
      <w:proofErr w:type="spellStart"/>
      <w:r w:rsidRPr="005D6F45">
        <w:rPr>
          <w:b/>
          <w:szCs w:val="32"/>
        </w:rPr>
        <w:t>Kadiana</w:t>
      </w:r>
      <w:proofErr w:type="spellEnd"/>
      <w:r w:rsidRPr="005D6F45">
        <w:rPr>
          <w:b/>
          <w:szCs w:val="32"/>
        </w:rPr>
        <w:t>) ;</w:t>
      </w:r>
    </w:p>
    <w:p w14:paraId="0A81FAEE" w14:textId="77777777" w:rsidR="007F3B6E" w:rsidRPr="005D6F45" w:rsidRDefault="007F3B6E" w:rsidP="007F3B6E">
      <w:pPr>
        <w:rPr>
          <w:b/>
          <w:szCs w:val="32"/>
        </w:rPr>
      </w:pPr>
      <w:r w:rsidRPr="005D6F45">
        <w:rPr>
          <w:b/>
          <w:szCs w:val="32"/>
        </w:rPr>
        <w:t xml:space="preserve">Lot 4 : </w:t>
      </w:r>
      <w:r>
        <w:rPr>
          <w:b/>
          <w:szCs w:val="32"/>
        </w:rPr>
        <w:t>Travaux de construction des bâtiments connexes</w:t>
      </w:r>
      <w:r w:rsidRPr="005D6F45">
        <w:rPr>
          <w:b/>
          <w:szCs w:val="32"/>
        </w:rPr>
        <w:t xml:space="preserve"> (Site de </w:t>
      </w:r>
      <w:proofErr w:type="spellStart"/>
      <w:r w:rsidRPr="005D6F45">
        <w:rPr>
          <w:b/>
          <w:szCs w:val="32"/>
        </w:rPr>
        <w:t>Kadiana</w:t>
      </w:r>
      <w:proofErr w:type="spellEnd"/>
      <w:r w:rsidRPr="005D6F45">
        <w:rPr>
          <w:b/>
          <w:szCs w:val="32"/>
        </w:rPr>
        <w:t>) ;</w:t>
      </w:r>
    </w:p>
    <w:p w14:paraId="37843602" w14:textId="77777777" w:rsidR="007F3B6E" w:rsidRPr="005D6F45" w:rsidRDefault="007F3B6E" w:rsidP="007F3B6E">
      <w:pPr>
        <w:rPr>
          <w:b/>
          <w:szCs w:val="32"/>
        </w:rPr>
      </w:pPr>
      <w:r w:rsidRPr="005D6F45">
        <w:rPr>
          <w:b/>
          <w:szCs w:val="32"/>
        </w:rPr>
        <w:t>Lot 5 : Travaux d’aménagements de la voirie et réseaux divers (Site de BENENA) ;</w:t>
      </w:r>
    </w:p>
    <w:p w14:paraId="6618B162" w14:textId="77777777" w:rsidR="007F3B6E" w:rsidRPr="005D6F45" w:rsidRDefault="007F3B6E" w:rsidP="007F3B6E">
      <w:pPr>
        <w:rPr>
          <w:b/>
          <w:szCs w:val="32"/>
        </w:rPr>
      </w:pPr>
      <w:r w:rsidRPr="005D6F45">
        <w:rPr>
          <w:b/>
          <w:szCs w:val="32"/>
        </w:rPr>
        <w:t xml:space="preserve">Lot 6 : </w:t>
      </w:r>
      <w:r>
        <w:rPr>
          <w:b/>
          <w:szCs w:val="32"/>
        </w:rPr>
        <w:t>Travaux de construction des bâtiments connexes</w:t>
      </w:r>
      <w:r w:rsidRPr="005D6F45">
        <w:rPr>
          <w:b/>
          <w:szCs w:val="32"/>
        </w:rPr>
        <w:t xml:space="preserve"> (Site de BENENA).</w:t>
      </w:r>
    </w:p>
    <w:p w14:paraId="5C59E174" w14:textId="77777777" w:rsidR="007F3B6E" w:rsidRPr="005D6F45" w:rsidRDefault="007F3B6E" w:rsidP="007F3B6E">
      <w:pPr>
        <w:ind w:left="705" w:hanging="705"/>
        <w:rPr>
          <w:b/>
          <w:szCs w:val="32"/>
        </w:rPr>
      </w:pPr>
    </w:p>
    <w:p w14:paraId="7F2B0BB5" w14:textId="77777777" w:rsidR="007F3B6E" w:rsidRPr="005D6F45" w:rsidRDefault="007F3B6E" w:rsidP="007F3B6E">
      <w:pPr>
        <w:ind w:left="705" w:hanging="705"/>
        <w:rPr>
          <w:bCs/>
        </w:rPr>
      </w:pPr>
      <w:r w:rsidRPr="005D6F45">
        <w:rPr>
          <w:b/>
        </w:rPr>
        <w:t>Référence :</w:t>
      </w:r>
      <w:r w:rsidRPr="005D6F45">
        <w:t xml:space="preserve"> </w:t>
      </w:r>
      <w:r w:rsidRPr="005D6F45">
        <w:rPr>
          <w:bCs/>
        </w:rPr>
        <w:t xml:space="preserve">Budget du </w:t>
      </w:r>
      <w:r>
        <w:rPr>
          <w:bCs/>
        </w:rPr>
        <w:t>PMCI</w:t>
      </w:r>
      <w:r w:rsidRPr="005D6F45">
        <w:rPr>
          <w:bCs/>
        </w:rPr>
        <w:t>, exercices 202</w:t>
      </w:r>
      <w:r>
        <w:rPr>
          <w:bCs/>
        </w:rPr>
        <w:t>6-2027</w:t>
      </w:r>
      <w:r w:rsidRPr="005D6F45">
        <w:rPr>
          <w:bCs/>
        </w:rPr>
        <w:t>.</w:t>
      </w:r>
    </w:p>
    <w:p w14:paraId="316D2686" w14:textId="77777777" w:rsidR="007F3B6E" w:rsidRPr="000D061C" w:rsidRDefault="007F3B6E" w:rsidP="007F3B6E">
      <w:pPr>
        <w:ind w:left="705" w:hanging="705"/>
        <w:rPr>
          <w:b/>
          <w:lang w:val="en-GB"/>
        </w:rPr>
      </w:pPr>
      <w:r w:rsidRPr="000D061C">
        <w:rPr>
          <w:b/>
          <w:highlight w:val="yellow"/>
          <w:lang w:val="en-GB"/>
        </w:rPr>
        <w:t>AAO</w:t>
      </w:r>
      <w:r>
        <w:rPr>
          <w:b/>
          <w:highlight w:val="yellow"/>
          <w:lang w:val="en-GB"/>
        </w:rPr>
        <w:t>O</w:t>
      </w:r>
      <w:r w:rsidRPr="000D061C">
        <w:rPr>
          <w:b/>
          <w:highlight w:val="yellow"/>
          <w:lang w:val="en-GB"/>
        </w:rPr>
        <w:t xml:space="preserve"> N°: 00</w:t>
      </w:r>
      <w:r>
        <w:rPr>
          <w:b/>
          <w:highlight w:val="yellow"/>
          <w:lang w:val="en-GB"/>
        </w:rPr>
        <w:t>5</w:t>
      </w:r>
      <w:r w:rsidRPr="000D061C">
        <w:rPr>
          <w:b/>
          <w:highlight w:val="yellow"/>
          <w:lang w:val="en-GB"/>
        </w:rPr>
        <w:t>F/MEF-DFM-202</w:t>
      </w:r>
      <w:r>
        <w:rPr>
          <w:b/>
          <w:lang w:val="en-GB"/>
        </w:rPr>
        <w:t>6</w:t>
      </w:r>
    </w:p>
    <w:p w14:paraId="436BC19D" w14:textId="77777777" w:rsidR="007F3B6E" w:rsidRPr="005D6F45" w:rsidRDefault="007F3B6E" w:rsidP="007F3B6E">
      <w:pPr>
        <w:ind w:left="705" w:hanging="705"/>
      </w:pPr>
      <w:r w:rsidRPr="005D6F45">
        <w:t>Messieurs, Mesdames,</w:t>
      </w:r>
    </w:p>
    <w:p w14:paraId="17EF8332" w14:textId="77777777" w:rsidR="007F3B6E" w:rsidRPr="005D6F45" w:rsidRDefault="007F3B6E" w:rsidP="007F3B6E">
      <w:pPr>
        <w:rPr>
          <w:b/>
          <w:szCs w:val="32"/>
        </w:rPr>
      </w:pPr>
      <w:r w:rsidRPr="005D6F45">
        <w:t xml:space="preserve">Le Ministère de l’Économie et des Finances dispose d’un budget d’investissement et de fonctionnement scanners/CET sur les ressources du Programme </w:t>
      </w:r>
      <w:r>
        <w:t>Moderne de Contrôle des Importations (PMCI)</w:t>
      </w:r>
      <w:r w:rsidRPr="005D6F45">
        <w:t xml:space="preserve"> et à l’intention d’utiliser une partie de ces fonds pour effectuer des paiements de certaines activités prioritaires urgentes au titre du Marché des : </w:t>
      </w:r>
      <w:r w:rsidRPr="005D6F45">
        <w:rPr>
          <w:b/>
          <w:bCs/>
        </w:rPr>
        <w:t>travaux de construction de trois (03) sites de Scanning (KOUREMALE, KADIANA et BENENA) au profit de la Direction Générale des Douanes.</w:t>
      </w:r>
    </w:p>
    <w:p w14:paraId="5A88E2DD" w14:textId="77777777" w:rsidR="007F3B6E" w:rsidRPr="005D6F45" w:rsidRDefault="007F3B6E" w:rsidP="007F3B6E">
      <w:pPr>
        <w:rPr>
          <w:b/>
          <w:szCs w:val="32"/>
        </w:rPr>
      </w:pPr>
    </w:p>
    <w:p w14:paraId="50741FFC" w14:textId="77777777" w:rsidR="007F3B6E" w:rsidRPr="005D6F45" w:rsidRDefault="007F3B6E" w:rsidP="007F3B6E">
      <w:pPr>
        <w:overflowPunct/>
        <w:autoSpaceDE/>
        <w:spacing w:after="160"/>
      </w:pPr>
      <w:r w:rsidRPr="005D6F45">
        <w:t xml:space="preserve">1. Dans le cadre de l’exécution du projet défini aux DPAO, IC 1.1, sous financement </w:t>
      </w:r>
      <w:r w:rsidRPr="005D6F45">
        <w:rPr>
          <w:bCs/>
        </w:rPr>
        <w:t>des</w:t>
      </w:r>
      <w:r w:rsidRPr="005D6F45">
        <w:t xml:space="preserve"> ressources du Programme </w:t>
      </w:r>
      <w:r>
        <w:t>Moderne de Contrôle des Importations (PMCI)</w:t>
      </w:r>
      <w:r w:rsidRPr="005D6F45">
        <w:t xml:space="preserve">, j’ai l’honneur de vous inviter à prendre part à l’Appel d’offres </w:t>
      </w:r>
      <w:r>
        <w:t>ouvert</w:t>
      </w:r>
      <w:r w:rsidRPr="005D6F45">
        <w:t xml:space="preserve"> relatif aux </w:t>
      </w:r>
      <w:r>
        <w:rPr>
          <w:b/>
          <w:bCs/>
        </w:rPr>
        <w:t>travaux de construction des sites de scanners de KOUREMALE, KADIANA et BENENA</w:t>
      </w:r>
      <w:r w:rsidRPr="005D6F45">
        <w:rPr>
          <w:b/>
          <w:bCs/>
        </w:rPr>
        <w:t xml:space="preserve"> au profit de la Direction Générale des Douanes</w:t>
      </w:r>
      <w:r w:rsidRPr="005D6F45">
        <w:rPr>
          <w:b/>
          <w:szCs w:val="32"/>
        </w:rPr>
        <w:t xml:space="preserve"> en </w:t>
      </w:r>
      <w:r>
        <w:rPr>
          <w:b/>
          <w:szCs w:val="32"/>
        </w:rPr>
        <w:t>six (06)</w:t>
      </w:r>
      <w:r w:rsidRPr="005D6F45">
        <w:rPr>
          <w:b/>
          <w:szCs w:val="32"/>
        </w:rPr>
        <w:t xml:space="preserve"> lots</w:t>
      </w:r>
      <w:r w:rsidRPr="005D6F45">
        <w:rPr>
          <w:b/>
        </w:rPr>
        <w:t>.</w:t>
      </w:r>
    </w:p>
    <w:p w14:paraId="11FBEF60" w14:textId="77777777" w:rsidR="007F3B6E" w:rsidRPr="005D6F45" w:rsidRDefault="007F3B6E" w:rsidP="007F3B6E">
      <w:pPr>
        <w:overflowPunct/>
        <w:autoSpaceDE/>
        <w:spacing w:after="160"/>
      </w:pPr>
      <w:r w:rsidRPr="005D6F45">
        <w:t xml:space="preserve">2. Le délai d’exécution est de </w:t>
      </w:r>
      <w:r>
        <w:t>huit</w:t>
      </w:r>
      <w:r w:rsidRPr="005D6F45">
        <w:t xml:space="preserve"> (</w:t>
      </w:r>
      <w:r>
        <w:t>8</w:t>
      </w:r>
      <w:r w:rsidRPr="005D6F45">
        <w:t xml:space="preserve">) mois. </w:t>
      </w:r>
    </w:p>
    <w:p w14:paraId="091AEDC6" w14:textId="77777777" w:rsidR="007F3B6E" w:rsidRPr="00ED25AE" w:rsidRDefault="007F3B6E" w:rsidP="007F3B6E">
      <w:pPr>
        <w:adjustRightInd w:val="0"/>
        <w:snapToGrid w:val="0"/>
        <w:spacing w:afterLines="50" w:after="120"/>
        <w:textAlignment w:val="auto"/>
        <w:rPr>
          <w:rFonts w:ascii="Cambria" w:hAnsi="Cambria" w:cs="Cambria"/>
          <w:color w:val="000000" w:themeColor="text1"/>
        </w:rPr>
      </w:pPr>
      <w:r w:rsidRPr="005D6F45">
        <w:t xml:space="preserve">3. </w:t>
      </w:r>
      <w:r w:rsidRPr="00514BA1">
        <w:t>La passation du Marché sera conduite par Appel d’offres ouvert tel que défini dans le Code des Marchés publics à l’article 50 et ouvert à tous les candidats éligibles</w:t>
      </w:r>
      <w:r w:rsidRPr="00ED25AE">
        <w:rPr>
          <w:rFonts w:ascii="Cambria" w:hAnsi="Cambria" w:cs="Cambria"/>
          <w:color w:val="000000" w:themeColor="text1"/>
        </w:rPr>
        <w:t>.</w:t>
      </w:r>
    </w:p>
    <w:p w14:paraId="69208BBC" w14:textId="77777777" w:rsidR="007F3B6E" w:rsidRPr="005D6F45" w:rsidRDefault="007F3B6E" w:rsidP="007F3B6E">
      <w:pPr>
        <w:pStyle w:val="Paragraphedeliste"/>
        <w:numPr>
          <w:ilvl w:val="0"/>
          <w:numId w:val="5"/>
        </w:numPr>
        <w:tabs>
          <w:tab w:val="left" w:pos="552"/>
        </w:tabs>
        <w:overflowPunct/>
        <w:autoSpaceDE/>
        <w:spacing w:after="200"/>
        <w:contextualSpacing w:val="0"/>
        <w:textAlignment w:val="auto"/>
      </w:pPr>
      <w:r w:rsidRPr="005D6F45">
        <w:t xml:space="preserve">Les exigences en matière de qualifications sont les suivantes : </w:t>
      </w:r>
    </w:p>
    <w:p w14:paraId="209D9E17" w14:textId="77777777" w:rsidR="007F3B6E" w:rsidRPr="005D6F45" w:rsidRDefault="007F3B6E" w:rsidP="007F3B6E">
      <w:r w:rsidRPr="005D6F45">
        <w:rPr>
          <w:b/>
        </w:rPr>
        <w:t>Capacité technique et expérience</w:t>
      </w:r>
      <w:r w:rsidRPr="005D6F45">
        <w:t> :</w:t>
      </w:r>
    </w:p>
    <w:p w14:paraId="59C69652" w14:textId="77777777" w:rsidR="007F3B6E" w:rsidRPr="005D6F45" w:rsidRDefault="007F3B6E" w:rsidP="007F3B6E">
      <w:pPr>
        <w:spacing w:after="200"/>
      </w:pPr>
      <w:bookmarkStart w:id="2" w:name="_Hlk220421566"/>
      <w:r w:rsidRPr="005D6F45">
        <w:t>Le Soumissionnaire doit prouver, documentation à l’appui, qu’il satisfait aux exigences d’expérience ci-après :</w:t>
      </w:r>
    </w:p>
    <w:p w14:paraId="3281A9F2" w14:textId="77777777" w:rsidR="007F3B6E" w:rsidRDefault="007F3B6E" w:rsidP="007F3B6E">
      <w:pPr>
        <w:spacing w:after="200"/>
      </w:pPr>
      <w:r w:rsidRPr="005D6F45">
        <w:t xml:space="preserve">Fournir la preuve de l’exécution deux (02) marchés similaires des travaux construction de bâtiments, de route, de voie d’accès, </w:t>
      </w:r>
      <w:r>
        <w:t xml:space="preserve">de bétonnage de plateforme, </w:t>
      </w:r>
      <w:r w:rsidRPr="005D6F45">
        <w:t>de maison, de ferme</w:t>
      </w:r>
      <w:r>
        <w:t xml:space="preserve">, </w:t>
      </w:r>
      <w:r w:rsidRPr="005D6F45">
        <w:t xml:space="preserve">de route en bitume ou béton bitumineux, d’aménagement de site, voiries, attestés par </w:t>
      </w:r>
      <w:r w:rsidRPr="0095143B">
        <w:t>attestations de bonne exécution, soit par les procès-verbaux de réception provisoire ou définitive accompagnés des copies des pages de garde et de signature des marchés correspondants émanant d’institutions publiques, parapubliques ou internationales</w:t>
      </w:r>
      <w:r w:rsidRPr="005D6F45">
        <w:t xml:space="preserve"> au cours des années 202</w:t>
      </w:r>
      <w:r>
        <w:t>1</w:t>
      </w:r>
      <w:r w:rsidRPr="005D6F45">
        <w:t xml:space="preserve"> à 202</w:t>
      </w:r>
      <w:r>
        <w:t>5</w:t>
      </w:r>
      <w:r w:rsidRPr="005D6F45">
        <w:t>.</w:t>
      </w:r>
    </w:p>
    <w:p w14:paraId="336180CE" w14:textId="77777777" w:rsidR="007F3B6E" w:rsidRPr="005D6F45" w:rsidRDefault="007F3B6E" w:rsidP="007F3B6E">
      <w:pPr>
        <w:spacing w:after="240"/>
      </w:pPr>
      <w:r w:rsidRPr="0095143B">
        <w:lastRenderedPageBreak/>
        <w:t xml:space="preserve">Pour les sociétés ou entreprises nouvellement créées : toute fois, pour l’appréciation des expériences, la candidature de ces sociétés ou entreprises doit être examinée au regard des capacités professionnelles et techniques, notamment par le biais des expériences et références obtenues par leurs dirigeants en matière </w:t>
      </w:r>
      <w:r w:rsidRPr="005D6F45">
        <w:t>des travaux construction de bâtiments, de route, de voie d’accès, de maison, de ferme, de route en bitume ou béton bitumineux, d’aménagement de site, voiries</w:t>
      </w:r>
      <w:r w:rsidRPr="0095143B">
        <w:t xml:space="preserve"> avec une valeur minimale par marché similaire égal à cinquante (50) pour cent de la soumission. Lesdits marchés similaires doivent être prouvés par les attestations de bonne exécution, soit par les procès-verbaux de réception provisoire ou définitive accompagnés des copies des pages de garde et de signature des marchés correspondants émanant d’institutions publiques, parapubliques ou internationales permettant de justifier de sa capacité à exécuter le marché dans les règles de l’art pendant la période </w:t>
      </w:r>
      <w:r w:rsidRPr="00B0187D">
        <w:t>2021-2025</w:t>
      </w:r>
      <w:r w:rsidRPr="0095143B">
        <w:t>. A cet effet, le contrat de travail, visé à l’Inspection du Travail ou certifié par un notaire, devra également être fourni.</w:t>
      </w:r>
    </w:p>
    <w:p w14:paraId="3E973B26" w14:textId="77777777" w:rsidR="007F3B6E" w:rsidRPr="005D6F45" w:rsidRDefault="007F3B6E" w:rsidP="007F3B6E">
      <w:pPr>
        <w:spacing w:line="276" w:lineRule="auto"/>
        <w:rPr>
          <w:b/>
        </w:rPr>
      </w:pPr>
      <w:r w:rsidRPr="005D6F45">
        <w:rPr>
          <w:b/>
        </w:rPr>
        <w:t>Capacités financières :</w:t>
      </w:r>
    </w:p>
    <w:p w14:paraId="4AC4F240" w14:textId="77777777" w:rsidR="007F3B6E" w:rsidRPr="005D6F45" w:rsidRDefault="007F3B6E" w:rsidP="007F3B6E">
      <w:pPr>
        <w:spacing w:line="276" w:lineRule="auto"/>
      </w:pPr>
      <w:r w:rsidRPr="005D6F45">
        <w:t>Les bilans, extrait de bilan et comptes d’exploitation des années 202</w:t>
      </w:r>
      <w:r>
        <w:t>2</w:t>
      </w:r>
      <w:r w:rsidRPr="005D6F45">
        <w:t>, 202</w:t>
      </w:r>
      <w:r>
        <w:t>3</w:t>
      </w:r>
      <w:r w:rsidRPr="005D6F45">
        <w:t xml:space="preserve"> et 202</w:t>
      </w:r>
      <w:r>
        <w:t>4</w:t>
      </w:r>
      <w:r w:rsidRPr="005D6F45">
        <w:t xml:space="preserve"> doivent être certifiés par un expert-comptable ou attestés par un comptable agréé inscrit au tableau de l’ordre et sur lesdits bilans doit figurer la mention suivante « bilans conformes aux déclarations souscrites au service des impôts » apposée par le service compétent des impôts.</w:t>
      </w:r>
    </w:p>
    <w:p w14:paraId="008E6C1A" w14:textId="77777777" w:rsidR="007F3B6E" w:rsidRPr="005D6F45" w:rsidRDefault="007F3B6E" w:rsidP="007F3B6E">
      <w:pPr>
        <w:spacing w:line="276" w:lineRule="auto"/>
      </w:pPr>
    </w:p>
    <w:p w14:paraId="72D5D5AB" w14:textId="77777777" w:rsidR="007F3B6E" w:rsidRDefault="007F3B6E" w:rsidP="007F3B6E">
      <w:pPr>
        <w:overflowPunct/>
        <w:autoSpaceDE/>
        <w:spacing w:after="200"/>
        <w:textAlignment w:val="auto"/>
      </w:pPr>
      <w:bookmarkStart w:id="3" w:name="_Hlk200007713"/>
      <w:bookmarkStart w:id="4" w:name="_Hlk200009288"/>
      <w:r w:rsidRPr="005D6F45">
        <w:t xml:space="preserve">Le chiffre d’affaires </w:t>
      </w:r>
      <w:bookmarkEnd w:id="3"/>
      <w:r>
        <w:t xml:space="preserve">moyen </w:t>
      </w:r>
      <w:r w:rsidRPr="005D6F45">
        <w:t>des années 202</w:t>
      </w:r>
      <w:r>
        <w:t>2</w:t>
      </w:r>
      <w:r w:rsidRPr="005D6F45">
        <w:t>, 202</w:t>
      </w:r>
      <w:r>
        <w:t>3</w:t>
      </w:r>
      <w:r w:rsidRPr="005D6F45">
        <w:t xml:space="preserve"> et 202</w:t>
      </w:r>
      <w:r>
        <w:t>4</w:t>
      </w:r>
      <w:r w:rsidRPr="005D6F45">
        <w:t xml:space="preserve"> doit être </w:t>
      </w:r>
      <w:r>
        <w:t xml:space="preserve">égal </w:t>
      </w:r>
      <w:r w:rsidRPr="005D6F45">
        <w:t xml:space="preserve">au moins à </w:t>
      </w:r>
      <w:r>
        <w:t>un milliard trois cent millions (1 300 000 000) pour le lot 1, cinq cent millions (500 000 000) pour le lot 2, un milliard deux cent millions (1 200 000 000) FCFA pour le lot 3, un milliard (1 000 000 000) FCFA</w:t>
      </w:r>
      <w:r w:rsidRPr="005D6F45">
        <w:t xml:space="preserve"> pour le lot</w:t>
      </w:r>
      <w:r>
        <w:t xml:space="preserve"> 4</w:t>
      </w:r>
      <w:r w:rsidRPr="005D6F45">
        <w:t xml:space="preserve"> ; </w:t>
      </w:r>
      <w:r>
        <w:t>un milliard cent millions (1 100 000 000) pour le</w:t>
      </w:r>
      <w:r w:rsidRPr="005D6F45">
        <w:t xml:space="preserve"> lot</w:t>
      </w:r>
      <w:r>
        <w:t xml:space="preserve"> </w:t>
      </w:r>
      <w:r w:rsidRPr="005D6F45">
        <w:t xml:space="preserve">5 et </w:t>
      </w:r>
      <w:r>
        <w:t>neuf cent millions (900 000 000) FCFA pour le lot 6.</w:t>
      </w:r>
    </w:p>
    <w:p w14:paraId="1072F21E" w14:textId="77777777" w:rsidR="007F3B6E" w:rsidRPr="005D6F45" w:rsidRDefault="007F3B6E" w:rsidP="007F3B6E">
      <w:pPr>
        <w:suppressAutoHyphens w:val="0"/>
        <w:overflowPunct/>
        <w:autoSpaceDE/>
        <w:autoSpaceDN/>
        <w:spacing w:after="240" w:line="276" w:lineRule="auto"/>
        <w:contextualSpacing/>
        <w:jc w:val="left"/>
      </w:pPr>
      <w:r w:rsidRPr="001222F8">
        <w:t>Accès à des financements tels que des avoirs liquides, lignes de crédit, autres que l’avance de démarrage éventuelle, à hauteur de :</w:t>
      </w:r>
      <w:bookmarkStart w:id="5" w:name="_Hlk197085706"/>
      <w:r>
        <w:t xml:space="preserve"> </w:t>
      </w:r>
      <w:r w:rsidRPr="001222F8">
        <w:t xml:space="preserve">trois cent millions (300 000 000) FCFA </w:t>
      </w:r>
      <w:r>
        <w:t>pour les anciennes sociétés et s</w:t>
      </w:r>
      <w:r w:rsidRPr="001222F8">
        <w:t>ix cent cinquante millions (650 000 000) FCFA pour les nouvelles sociétés </w:t>
      </w:r>
      <w:r>
        <w:t>au titre du lot 1, cent</w:t>
      </w:r>
      <w:r w:rsidRPr="001222F8">
        <w:t xml:space="preserve"> cinquante millions (150 000 000) FCFA</w:t>
      </w:r>
      <w:r>
        <w:t xml:space="preserve"> pour les anciennes sociétés et</w:t>
      </w:r>
      <w:r w:rsidRPr="001222F8">
        <w:t xml:space="preserve"> trois cent dix millions (310 000 000) FCFA pour les nouvelles sociétés </w:t>
      </w:r>
      <w:r>
        <w:t xml:space="preserve">au titre du lot 2, </w:t>
      </w:r>
      <w:r w:rsidRPr="001222F8">
        <w:t xml:space="preserve">deux cent quatre-vingt millions (280 000 000) FCFA </w:t>
      </w:r>
      <w:r>
        <w:t>pour les anciennes sociétés et s</w:t>
      </w:r>
      <w:r w:rsidRPr="001222F8">
        <w:t>ix cent millions (600 000 000) FCFA pour les nouvelles sociétés </w:t>
      </w:r>
      <w:r>
        <w:t xml:space="preserve">au titre du lot 3, </w:t>
      </w:r>
      <w:r w:rsidRPr="001222F8">
        <w:t xml:space="preserve">deux cent millions (200 000 000) FCFA </w:t>
      </w:r>
      <w:r>
        <w:t xml:space="preserve">pour les anciennes sociétés et quatre cent </w:t>
      </w:r>
      <w:r w:rsidRPr="001222F8">
        <w:t>quatre-vingt millions (480 000 000) FCFA pour les nouvelles sociétés </w:t>
      </w:r>
      <w:r>
        <w:t xml:space="preserve">au titre du lot 4, </w:t>
      </w:r>
      <w:r w:rsidRPr="001222F8">
        <w:t xml:space="preserve">deux cent </w:t>
      </w:r>
      <w:r>
        <w:t>soixante-dix</w:t>
      </w:r>
      <w:r w:rsidRPr="001222F8">
        <w:t xml:space="preserve"> millions (2</w:t>
      </w:r>
      <w:r>
        <w:t>7</w:t>
      </w:r>
      <w:r w:rsidRPr="001222F8">
        <w:t>0 000 000) FCFA</w:t>
      </w:r>
      <w:r>
        <w:t xml:space="preserve"> pour les anciennes sociétés et s</w:t>
      </w:r>
      <w:r w:rsidRPr="001222F8">
        <w:t>ix cent millions (600 000 000) FCFA pour les nouvelles sociétés </w:t>
      </w:r>
      <w:r>
        <w:t xml:space="preserve">au titre du lot 5 et </w:t>
      </w:r>
      <w:r w:rsidRPr="001222F8">
        <w:t xml:space="preserve">deux cent vingt millions (220 000 000) FCFA </w:t>
      </w:r>
      <w:r>
        <w:t>pour les anciennes sociétés et q</w:t>
      </w:r>
      <w:r w:rsidRPr="001222F8">
        <w:t>uatre cent soixante-dix millions (470 000 000) FCFA pour les nouvelles sociétés</w:t>
      </w:r>
      <w:bookmarkEnd w:id="5"/>
      <w:r>
        <w:t xml:space="preserve"> au titre du lot 6.</w:t>
      </w:r>
    </w:p>
    <w:p w14:paraId="24BF249E" w14:textId="77777777" w:rsidR="007F3B6E" w:rsidRPr="005D6F45" w:rsidRDefault="007F3B6E" w:rsidP="007F3B6E">
      <w:pPr>
        <w:overflowPunct/>
        <w:autoSpaceDE/>
        <w:spacing w:after="200"/>
        <w:textAlignment w:val="auto"/>
      </w:pPr>
      <w:r w:rsidRPr="00B41094">
        <w:t xml:space="preserve">Les sociétés </w:t>
      </w:r>
      <w:r>
        <w:t xml:space="preserve">nouvellement créées </w:t>
      </w:r>
      <w:r w:rsidRPr="00B41094">
        <w:t xml:space="preserve">doivent fournir une attestation bancaire de disponibilité de fonds ou d’engagement à financer le marché d'un montant d’un </w:t>
      </w:r>
      <w:r>
        <w:t>milliard sept cent</w:t>
      </w:r>
      <w:r w:rsidRPr="00B41094">
        <w:t xml:space="preserve"> millions (</w:t>
      </w:r>
      <w:r>
        <w:t>1 700</w:t>
      </w:r>
      <w:r w:rsidRPr="00B41094">
        <w:t xml:space="preserve"> 000 000) FCFA pour le lot 1, </w:t>
      </w:r>
      <w:r>
        <w:t>Huit</w:t>
      </w:r>
      <w:r w:rsidRPr="00B41094">
        <w:t xml:space="preserve"> Cent Millions (</w:t>
      </w:r>
      <w:r>
        <w:t>8</w:t>
      </w:r>
      <w:r w:rsidRPr="00B41094">
        <w:t>00 000 000) FCFA pour le lot 2,</w:t>
      </w:r>
      <w:r w:rsidRPr="002F257A">
        <w:t xml:space="preserve"> </w:t>
      </w:r>
      <w:r>
        <w:t>un milliard cinq cent millions</w:t>
      </w:r>
      <w:r w:rsidRPr="00B41094">
        <w:t xml:space="preserve"> (</w:t>
      </w:r>
      <w:r>
        <w:t>1 5</w:t>
      </w:r>
      <w:r w:rsidRPr="00B41094">
        <w:t xml:space="preserve">00 000 000) FCFA pour le lot </w:t>
      </w:r>
      <w:r>
        <w:t>3</w:t>
      </w:r>
      <w:r w:rsidRPr="00B41094">
        <w:t xml:space="preserve">, </w:t>
      </w:r>
      <w:r>
        <w:t>un milliard trois cent millions (1 300 000 000) pour le</w:t>
      </w:r>
      <w:r w:rsidRPr="00B41094">
        <w:t xml:space="preserve"> lot 4</w:t>
      </w:r>
      <w:r>
        <w:t>, un milliard quatre cent millions (1 400 000 000) pour le lot 5 et un milliard deux cent millions (1 200 000 000)</w:t>
      </w:r>
      <w:r w:rsidRPr="00B41094">
        <w:t xml:space="preserve"> </w:t>
      </w:r>
      <w:r>
        <w:t xml:space="preserve">pour le </w:t>
      </w:r>
      <w:r w:rsidRPr="00B41094">
        <w:t xml:space="preserve">lot </w:t>
      </w:r>
      <w:r>
        <w:t>6</w:t>
      </w:r>
      <w:r w:rsidRPr="00B41094">
        <w:t>, l’attestation de ligne de crédit doit être conforme au modèle indiqué dans le présent dossier.</w:t>
      </w:r>
    </w:p>
    <w:bookmarkEnd w:id="4"/>
    <w:p w14:paraId="53EC9252" w14:textId="77777777" w:rsidR="007F3B6E" w:rsidRPr="005D6F45" w:rsidRDefault="007F3B6E" w:rsidP="007F3B6E">
      <w:pPr>
        <w:overflowPunct/>
        <w:autoSpaceDE/>
        <w:spacing w:after="200"/>
        <w:textAlignment w:val="auto"/>
        <w:rPr>
          <w:rFonts w:cs="Times New Roman"/>
          <w:b/>
        </w:rPr>
      </w:pPr>
      <w:r w:rsidRPr="005D6F45">
        <w:rPr>
          <w:rFonts w:cs="Times New Roman"/>
          <w:b/>
        </w:rPr>
        <w:t>Capacité légale :</w:t>
      </w:r>
    </w:p>
    <w:p w14:paraId="35B63439" w14:textId="77777777" w:rsidR="007F3B6E" w:rsidRPr="005D6F45" w:rsidRDefault="007F3B6E" w:rsidP="007F3B6E">
      <w:pPr>
        <w:pStyle w:val="Paragraphedeliste"/>
        <w:numPr>
          <w:ilvl w:val="0"/>
          <w:numId w:val="3"/>
        </w:numPr>
        <w:overflowPunct/>
        <w:autoSpaceDE/>
        <w:contextualSpacing w:val="0"/>
        <w:textAlignment w:val="auto"/>
      </w:pPr>
      <w:proofErr w:type="gramStart"/>
      <w:r w:rsidRPr="005D6F45">
        <w:lastRenderedPageBreak/>
        <w:t>agrément</w:t>
      </w:r>
      <w:proofErr w:type="gramEnd"/>
      <w:r w:rsidRPr="005D6F45">
        <w:t xml:space="preserve"> ou carte </w:t>
      </w:r>
      <w:proofErr w:type="gramStart"/>
      <w:r w:rsidRPr="005D6F45">
        <w:t>professionnelle;</w:t>
      </w:r>
      <w:proofErr w:type="gramEnd"/>
    </w:p>
    <w:p w14:paraId="29FE3FC8" w14:textId="77777777" w:rsidR="007F3B6E" w:rsidRPr="005D6F45" w:rsidRDefault="007F3B6E" w:rsidP="007F3B6E">
      <w:pPr>
        <w:pStyle w:val="Paragraphedeliste"/>
        <w:numPr>
          <w:ilvl w:val="0"/>
          <w:numId w:val="3"/>
        </w:numPr>
        <w:overflowPunct/>
        <w:autoSpaceDE/>
        <w:contextualSpacing w:val="0"/>
        <w:textAlignment w:val="auto"/>
      </w:pPr>
      <w:proofErr w:type="gramStart"/>
      <w:r w:rsidRPr="005D6F45">
        <w:t>garantie</w:t>
      </w:r>
      <w:proofErr w:type="gramEnd"/>
      <w:r w:rsidRPr="005D6F45">
        <w:t xml:space="preserve"> de l’offre ;</w:t>
      </w:r>
    </w:p>
    <w:p w14:paraId="19E1A3AA" w14:textId="77777777" w:rsidR="007F3B6E" w:rsidRPr="005D6F45" w:rsidRDefault="007F3B6E" w:rsidP="007F3B6E">
      <w:pPr>
        <w:pStyle w:val="Paragraphedeliste"/>
        <w:numPr>
          <w:ilvl w:val="0"/>
          <w:numId w:val="3"/>
        </w:numPr>
        <w:overflowPunct/>
        <w:autoSpaceDE/>
        <w:contextualSpacing w:val="0"/>
        <w:textAlignment w:val="auto"/>
      </w:pPr>
      <w:proofErr w:type="gramStart"/>
      <w:r w:rsidRPr="005D6F45">
        <w:t>quitus</w:t>
      </w:r>
      <w:proofErr w:type="gramEnd"/>
      <w:r w:rsidRPr="005D6F45">
        <w:t xml:space="preserve"> fiscal ;</w:t>
      </w:r>
    </w:p>
    <w:p w14:paraId="00507998" w14:textId="77777777" w:rsidR="007F3B6E" w:rsidRPr="005D6F45" w:rsidRDefault="007F3B6E" w:rsidP="007F3B6E">
      <w:pPr>
        <w:pStyle w:val="Paragraphedeliste"/>
        <w:numPr>
          <w:ilvl w:val="0"/>
          <w:numId w:val="3"/>
        </w:numPr>
        <w:overflowPunct/>
        <w:autoSpaceDE/>
        <w:contextualSpacing w:val="0"/>
        <w:textAlignment w:val="auto"/>
      </w:pPr>
      <w:proofErr w:type="gramStart"/>
      <w:r w:rsidRPr="005D6F45">
        <w:t>certificat</w:t>
      </w:r>
      <w:proofErr w:type="gramEnd"/>
      <w:r w:rsidRPr="005D6F45">
        <w:t xml:space="preserve"> de non faillite ;</w:t>
      </w:r>
    </w:p>
    <w:p w14:paraId="2A555E9D" w14:textId="77777777" w:rsidR="007F3B6E" w:rsidRPr="005D6F45" w:rsidRDefault="007F3B6E" w:rsidP="007F3B6E">
      <w:pPr>
        <w:pStyle w:val="Paragraphedeliste"/>
        <w:overflowPunct/>
        <w:autoSpaceDE/>
      </w:pPr>
    </w:p>
    <w:p w14:paraId="281B6ED3" w14:textId="77777777" w:rsidR="007F3B6E" w:rsidRPr="005D6F45" w:rsidRDefault="007F3B6E" w:rsidP="007F3B6E">
      <w:pPr>
        <w:overflowPunct/>
        <w:autoSpaceDE/>
        <w:spacing w:after="200"/>
        <w:textAlignment w:val="auto"/>
      </w:pPr>
      <w:r w:rsidRPr="005D6F45">
        <w:rPr>
          <w:rFonts w:cs="Times New Roman"/>
          <w:b/>
        </w:rPr>
        <w:t>Voir les DPAO pour les informations détaillées.</w:t>
      </w:r>
    </w:p>
    <w:p w14:paraId="3F7768F2" w14:textId="77777777" w:rsidR="007F3B6E" w:rsidRPr="005D6F45" w:rsidRDefault="007F3B6E" w:rsidP="007F3B6E">
      <w:pPr>
        <w:pStyle w:val="Paragraphedeliste"/>
        <w:numPr>
          <w:ilvl w:val="0"/>
          <w:numId w:val="2"/>
        </w:numPr>
        <w:tabs>
          <w:tab w:val="left" w:pos="552"/>
        </w:tabs>
        <w:overflowPunct/>
        <w:autoSpaceDE/>
        <w:spacing w:before="120" w:after="120"/>
        <w:contextualSpacing w:val="0"/>
        <w:textAlignment w:val="auto"/>
      </w:pPr>
      <w:r w:rsidRPr="005D6F45">
        <w:t>Les candidats intéressés peuvent consulter gratuitement le dossier d’Appel d’offres complet ou le retirer à titre onéreux contre paiement d’une somme non remboursable de cent cinquante mille (150 000) Francs CFA à l’adresse mentionnée ci-après : Direction des Finances et du Matériel du Ministère de l’Economie et des Finances. La méthode de paiement sera en espèces contre un reçu. Le Dossier d’Appel d’offres sera adressé par courriel à l’acquéreur.</w:t>
      </w:r>
    </w:p>
    <w:p w14:paraId="6301F303" w14:textId="77777777" w:rsidR="007F3B6E" w:rsidRPr="005D6F45" w:rsidRDefault="007F3B6E" w:rsidP="007F3B6E">
      <w:pPr>
        <w:numPr>
          <w:ilvl w:val="0"/>
          <w:numId w:val="2"/>
        </w:numPr>
        <w:tabs>
          <w:tab w:val="left" w:pos="720"/>
        </w:tabs>
        <w:overflowPunct/>
        <w:autoSpaceDE/>
        <w:spacing w:before="120" w:after="120"/>
        <w:ind w:left="0" w:firstLine="0"/>
        <w:textAlignment w:val="auto"/>
      </w:pPr>
      <w:r w:rsidRPr="005D6F45">
        <w:t xml:space="preserve">Les offres devront être soumises à l’adresse ci-après : </w:t>
      </w:r>
      <w:r w:rsidRPr="005D6F45">
        <w:rPr>
          <w:b/>
        </w:rPr>
        <w:t xml:space="preserve">Secrétariat de la Division Approvisionnement </w:t>
      </w:r>
      <w:r>
        <w:rPr>
          <w:b/>
        </w:rPr>
        <w:t>et</w:t>
      </w:r>
      <w:r w:rsidRPr="005D6F45">
        <w:rPr>
          <w:b/>
        </w:rPr>
        <w:t xml:space="preserve"> Marchés Publics de la Direction des Finances et du Matériel du Ministère de l’Économie et des Finances, Bamako (Mali)</w:t>
      </w:r>
      <w:r w:rsidRPr="005D6F45">
        <w:t xml:space="preserve"> au plus tard le </w:t>
      </w:r>
      <w:r w:rsidRPr="005D6F45">
        <w:rPr>
          <w:iCs/>
        </w:rPr>
        <w:t>……………… à 10 heures 30 minutes</w:t>
      </w:r>
      <w:r w:rsidRPr="005D6F45">
        <w:t>. Les offres remises en retard ne seront pas acceptées.</w:t>
      </w:r>
    </w:p>
    <w:p w14:paraId="5CD4B7E5" w14:textId="77777777" w:rsidR="007F3B6E" w:rsidRPr="005D6F45" w:rsidRDefault="007F3B6E" w:rsidP="007F3B6E">
      <w:pPr>
        <w:numPr>
          <w:ilvl w:val="0"/>
          <w:numId w:val="2"/>
        </w:numPr>
        <w:tabs>
          <w:tab w:val="left" w:pos="720"/>
        </w:tabs>
        <w:overflowPunct/>
        <w:autoSpaceDE/>
        <w:spacing w:before="120" w:after="120"/>
        <w:ind w:left="0" w:firstLine="0"/>
        <w:textAlignment w:val="auto"/>
      </w:pPr>
      <w:r w:rsidRPr="005D6F45">
        <w:t xml:space="preserve">Les offres doivent comprendre </w:t>
      </w:r>
      <w:r w:rsidRPr="005D6F45">
        <w:rPr>
          <w:iCs/>
        </w:rPr>
        <w:t>une garantie de soumission</w:t>
      </w:r>
      <w:r w:rsidRPr="005D6F45">
        <w:t xml:space="preserve">, d’un montant de : </w:t>
      </w:r>
    </w:p>
    <w:p w14:paraId="679FA50E" w14:textId="77777777" w:rsidR="007F3B6E" w:rsidRPr="005D6F45" w:rsidRDefault="007F3B6E" w:rsidP="007F3B6E">
      <w:pPr>
        <w:pStyle w:val="Paragraphedeliste"/>
        <w:numPr>
          <w:ilvl w:val="0"/>
          <w:numId w:val="4"/>
        </w:numPr>
        <w:overflowPunct/>
        <w:autoSpaceDE/>
        <w:spacing w:before="120" w:after="120"/>
        <w:contextualSpacing w:val="0"/>
        <w:textAlignment w:val="auto"/>
        <w:rPr>
          <w:iCs/>
        </w:rPr>
      </w:pPr>
      <w:r w:rsidRPr="009B653C">
        <w:rPr>
          <w:iCs/>
        </w:rPr>
        <w:t xml:space="preserve">Vingt-Trois Millions </w:t>
      </w:r>
      <w:r>
        <w:rPr>
          <w:iCs/>
        </w:rPr>
        <w:t>(</w:t>
      </w:r>
      <w:r w:rsidRPr="009B653C">
        <w:rPr>
          <w:iCs/>
        </w:rPr>
        <w:t>23</w:t>
      </w:r>
      <w:r>
        <w:rPr>
          <w:iCs/>
        </w:rPr>
        <w:t> 000 000)</w:t>
      </w:r>
      <w:r w:rsidRPr="009B653C">
        <w:rPr>
          <w:iCs/>
        </w:rPr>
        <w:t xml:space="preserve"> </w:t>
      </w:r>
      <w:r w:rsidRPr="005D6F45">
        <w:rPr>
          <w:iCs/>
        </w:rPr>
        <w:t xml:space="preserve">Francs CFA pour le </w:t>
      </w:r>
      <w:r w:rsidRPr="003C76D6">
        <w:rPr>
          <w:b/>
          <w:bCs/>
          <w:iCs/>
        </w:rPr>
        <w:t>lot 1</w:t>
      </w:r>
      <w:r w:rsidRPr="005D6F45">
        <w:rPr>
          <w:iCs/>
        </w:rPr>
        <w:t xml:space="preserve"> ; </w:t>
      </w:r>
    </w:p>
    <w:p w14:paraId="728BF442" w14:textId="77777777" w:rsidR="007F3B6E" w:rsidRPr="005D6F45" w:rsidRDefault="007F3B6E" w:rsidP="007F3B6E">
      <w:pPr>
        <w:pStyle w:val="Paragraphedeliste"/>
        <w:numPr>
          <w:ilvl w:val="0"/>
          <w:numId w:val="4"/>
        </w:numPr>
        <w:overflowPunct/>
        <w:autoSpaceDE/>
        <w:spacing w:before="120" w:after="120"/>
        <w:contextualSpacing w:val="0"/>
        <w:textAlignment w:val="auto"/>
        <w:rPr>
          <w:iCs/>
        </w:rPr>
      </w:pPr>
      <w:r>
        <w:rPr>
          <w:iCs/>
        </w:rPr>
        <w:t>Seize</w:t>
      </w:r>
      <w:r w:rsidRPr="003C76D6">
        <w:rPr>
          <w:iCs/>
        </w:rPr>
        <w:t xml:space="preserve"> Millions Six Cent Mille </w:t>
      </w:r>
      <w:r>
        <w:rPr>
          <w:iCs/>
        </w:rPr>
        <w:t xml:space="preserve">(16 600 000) </w:t>
      </w:r>
      <w:r w:rsidRPr="005D6F45">
        <w:rPr>
          <w:iCs/>
        </w:rPr>
        <w:t xml:space="preserve">Francs CFA pour le </w:t>
      </w:r>
      <w:r w:rsidRPr="000B4E62">
        <w:rPr>
          <w:b/>
          <w:bCs/>
          <w:iCs/>
        </w:rPr>
        <w:t>lot 2</w:t>
      </w:r>
      <w:r w:rsidRPr="005D6F45">
        <w:rPr>
          <w:iCs/>
        </w:rPr>
        <w:t xml:space="preserve"> </w:t>
      </w:r>
      <w:r>
        <w:rPr>
          <w:iCs/>
        </w:rPr>
        <w:t>;</w:t>
      </w:r>
    </w:p>
    <w:p w14:paraId="7E267093" w14:textId="77777777" w:rsidR="007F3B6E" w:rsidRPr="005D6F45" w:rsidRDefault="007F3B6E" w:rsidP="007F3B6E">
      <w:pPr>
        <w:pStyle w:val="Paragraphedeliste"/>
        <w:numPr>
          <w:ilvl w:val="0"/>
          <w:numId w:val="4"/>
        </w:numPr>
        <w:overflowPunct/>
        <w:autoSpaceDE/>
        <w:spacing w:before="120" w:after="120"/>
        <w:contextualSpacing w:val="0"/>
        <w:textAlignment w:val="auto"/>
        <w:rPr>
          <w:iCs/>
        </w:rPr>
      </w:pPr>
      <w:r>
        <w:rPr>
          <w:iCs/>
        </w:rPr>
        <w:t>Vingt-un</w:t>
      </w:r>
      <w:r w:rsidRPr="001875B6">
        <w:rPr>
          <w:iCs/>
        </w:rPr>
        <w:t xml:space="preserve"> Millions Deux Cent Mille </w:t>
      </w:r>
      <w:r>
        <w:rPr>
          <w:iCs/>
        </w:rPr>
        <w:t>(21 200 000)</w:t>
      </w:r>
      <w:r w:rsidRPr="005D6F45">
        <w:rPr>
          <w:iCs/>
        </w:rPr>
        <w:t xml:space="preserve"> Francs CFA pour le </w:t>
      </w:r>
      <w:r w:rsidRPr="000B4E62">
        <w:rPr>
          <w:b/>
          <w:bCs/>
          <w:iCs/>
        </w:rPr>
        <w:t>lot 3</w:t>
      </w:r>
      <w:r w:rsidRPr="005D6F45">
        <w:rPr>
          <w:iCs/>
        </w:rPr>
        <w:t xml:space="preserve"> ; </w:t>
      </w:r>
    </w:p>
    <w:p w14:paraId="23B9A71F" w14:textId="77777777" w:rsidR="007F3B6E" w:rsidRPr="005D6F45" w:rsidRDefault="007F3B6E" w:rsidP="007F3B6E">
      <w:pPr>
        <w:pStyle w:val="Paragraphedeliste"/>
        <w:numPr>
          <w:ilvl w:val="0"/>
          <w:numId w:val="4"/>
        </w:numPr>
        <w:overflowPunct/>
        <w:autoSpaceDE/>
        <w:spacing w:before="120" w:after="120"/>
        <w:contextualSpacing w:val="0"/>
        <w:textAlignment w:val="auto"/>
        <w:rPr>
          <w:iCs/>
        </w:rPr>
      </w:pPr>
      <w:r w:rsidRPr="00297FC1">
        <w:rPr>
          <w:iCs/>
        </w:rPr>
        <w:t xml:space="preserve">Quinze Millions </w:t>
      </w:r>
      <w:r>
        <w:rPr>
          <w:iCs/>
        </w:rPr>
        <w:t>huit cent mille (</w:t>
      </w:r>
      <w:r w:rsidRPr="00297FC1">
        <w:rPr>
          <w:iCs/>
        </w:rPr>
        <w:t>15</w:t>
      </w:r>
      <w:r>
        <w:rPr>
          <w:iCs/>
        </w:rPr>
        <w:t> 800 000)</w:t>
      </w:r>
      <w:r w:rsidRPr="00297FC1">
        <w:rPr>
          <w:iCs/>
        </w:rPr>
        <w:t xml:space="preserve"> Francs</w:t>
      </w:r>
      <w:r w:rsidRPr="005D6F45">
        <w:rPr>
          <w:iCs/>
        </w:rPr>
        <w:t xml:space="preserve"> CFA pour le </w:t>
      </w:r>
      <w:r w:rsidRPr="000B4E62">
        <w:rPr>
          <w:b/>
          <w:bCs/>
          <w:iCs/>
        </w:rPr>
        <w:t>lot 4</w:t>
      </w:r>
      <w:r>
        <w:rPr>
          <w:iCs/>
        </w:rPr>
        <w:t> ;</w:t>
      </w:r>
    </w:p>
    <w:p w14:paraId="244D2382" w14:textId="77777777" w:rsidR="007F3B6E" w:rsidRPr="005D6F45" w:rsidRDefault="007F3B6E" w:rsidP="007F3B6E">
      <w:pPr>
        <w:pStyle w:val="Paragraphedeliste"/>
        <w:numPr>
          <w:ilvl w:val="0"/>
          <w:numId w:val="4"/>
        </w:numPr>
        <w:overflowPunct/>
        <w:autoSpaceDE/>
        <w:spacing w:before="120" w:after="120"/>
        <w:contextualSpacing w:val="0"/>
        <w:textAlignment w:val="auto"/>
        <w:rPr>
          <w:iCs/>
        </w:rPr>
      </w:pPr>
      <w:r>
        <w:rPr>
          <w:iCs/>
        </w:rPr>
        <w:t xml:space="preserve">Vingt un </w:t>
      </w:r>
      <w:r w:rsidRPr="003537C6">
        <w:rPr>
          <w:iCs/>
        </w:rPr>
        <w:t xml:space="preserve">Millions Quatre Cent Mille </w:t>
      </w:r>
      <w:r>
        <w:rPr>
          <w:iCs/>
        </w:rPr>
        <w:t>(21 400 000)</w:t>
      </w:r>
      <w:r w:rsidRPr="003537C6">
        <w:rPr>
          <w:iCs/>
        </w:rPr>
        <w:t xml:space="preserve"> </w:t>
      </w:r>
      <w:r w:rsidRPr="005D6F45">
        <w:rPr>
          <w:iCs/>
        </w:rPr>
        <w:t xml:space="preserve">Francs CFA pour le </w:t>
      </w:r>
      <w:r w:rsidRPr="000B4E62">
        <w:rPr>
          <w:b/>
          <w:bCs/>
          <w:iCs/>
        </w:rPr>
        <w:t>lot 5</w:t>
      </w:r>
      <w:r w:rsidRPr="005D6F45">
        <w:rPr>
          <w:iCs/>
        </w:rPr>
        <w:t xml:space="preserve"> ; </w:t>
      </w:r>
    </w:p>
    <w:p w14:paraId="3E580480" w14:textId="77777777" w:rsidR="007F3B6E" w:rsidRPr="005D6F45" w:rsidRDefault="007F3B6E" w:rsidP="007F3B6E">
      <w:pPr>
        <w:pStyle w:val="Paragraphedeliste"/>
        <w:numPr>
          <w:ilvl w:val="0"/>
          <w:numId w:val="4"/>
        </w:numPr>
        <w:overflowPunct/>
        <w:autoSpaceDE/>
        <w:spacing w:before="120" w:after="120"/>
        <w:contextualSpacing w:val="0"/>
        <w:textAlignment w:val="auto"/>
        <w:rPr>
          <w:iCs/>
        </w:rPr>
      </w:pPr>
      <w:r>
        <w:rPr>
          <w:iCs/>
        </w:rPr>
        <w:t>Quinze</w:t>
      </w:r>
      <w:r w:rsidRPr="00012E82">
        <w:rPr>
          <w:iCs/>
        </w:rPr>
        <w:t xml:space="preserve"> Millions Quatre</w:t>
      </w:r>
      <w:r>
        <w:rPr>
          <w:iCs/>
        </w:rPr>
        <w:t xml:space="preserve"> Cent</w:t>
      </w:r>
      <w:r w:rsidRPr="00012E82">
        <w:rPr>
          <w:iCs/>
        </w:rPr>
        <w:t xml:space="preserve"> Mille </w:t>
      </w:r>
      <w:r>
        <w:rPr>
          <w:iCs/>
        </w:rPr>
        <w:t>(</w:t>
      </w:r>
      <w:r w:rsidRPr="00012E82">
        <w:rPr>
          <w:iCs/>
        </w:rPr>
        <w:t>15</w:t>
      </w:r>
      <w:r>
        <w:rPr>
          <w:iCs/>
        </w:rPr>
        <w:t> 400 000)</w:t>
      </w:r>
      <w:r w:rsidRPr="005D6F45">
        <w:rPr>
          <w:iCs/>
        </w:rPr>
        <w:t xml:space="preserve"> Francs CFA pour le </w:t>
      </w:r>
      <w:r w:rsidRPr="000B4E62">
        <w:rPr>
          <w:b/>
          <w:bCs/>
          <w:iCs/>
        </w:rPr>
        <w:t>lot 6</w:t>
      </w:r>
      <w:r w:rsidRPr="005D6F45">
        <w:rPr>
          <w:iCs/>
        </w:rPr>
        <w:t xml:space="preserve"> et cela conformément à l’article 69 du CMP.</w:t>
      </w:r>
    </w:p>
    <w:bookmarkEnd w:id="2"/>
    <w:p w14:paraId="51B166E9" w14:textId="77777777" w:rsidR="007F3B6E" w:rsidRPr="005D6F45" w:rsidRDefault="007F3B6E" w:rsidP="007F3B6E">
      <w:pPr>
        <w:numPr>
          <w:ilvl w:val="0"/>
          <w:numId w:val="2"/>
        </w:numPr>
        <w:tabs>
          <w:tab w:val="left" w:pos="720"/>
        </w:tabs>
        <w:overflowPunct/>
        <w:autoSpaceDE/>
        <w:spacing w:after="200"/>
        <w:ind w:left="0" w:firstLine="0"/>
        <w:textAlignment w:val="auto"/>
      </w:pPr>
      <w:r w:rsidRPr="005D6F45">
        <w:t xml:space="preserve">Les Soumissionnaires resteront engagés par leur offre pendant une période de </w:t>
      </w:r>
      <w:r w:rsidRPr="005D6F45">
        <w:rPr>
          <w:b/>
        </w:rPr>
        <w:t>quatre-vingt-dix (90) jours</w:t>
      </w:r>
      <w:r w:rsidRPr="005D6F45">
        <w:rPr>
          <w:iCs/>
          <w:sz w:val="23"/>
          <w:szCs w:val="23"/>
        </w:rPr>
        <w:t xml:space="preserve"> </w:t>
      </w:r>
      <w:r w:rsidRPr="005D6F45">
        <w:t>à compter de la date limite du dépôt des offres comme spécifiées au point 19.1 des IC et au DPAO.</w:t>
      </w:r>
    </w:p>
    <w:p w14:paraId="1DC5CC44" w14:textId="77777777" w:rsidR="007F3B6E" w:rsidRPr="005D6F45" w:rsidRDefault="007F3B6E" w:rsidP="007F3B6E">
      <w:pPr>
        <w:numPr>
          <w:ilvl w:val="0"/>
          <w:numId w:val="2"/>
        </w:numPr>
        <w:tabs>
          <w:tab w:val="left" w:pos="720"/>
        </w:tabs>
        <w:overflowPunct/>
        <w:autoSpaceDE/>
        <w:spacing w:after="200"/>
        <w:ind w:left="0" w:firstLine="0"/>
        <w:textAlignment w:val="auto"/>
      </w:pPr>
      <w:r w:rsidRPr="005D6F45">
        <w:t xml:space="preserve">Les offres seront ouvertes en présence des représentants des soumissionnaires qui souhaitent assister à l’ouverture des plis le </w:t>
      </w:r>
      <w:r w:rsidRPr="005D6F45">
        <w:rPr>
          <w:i/>
        </w:rPr>
        <w:t>…………………….</w:t>
      </w:r>
      <w:r w:rsidRPr="005D6F45">
        <w:t xml:space="preserve"> </w:t>
      </w:r>
      <w:proofErr w:type="gramStart"/>
      <w:r w:rsidRPr="005D6F45">
        <w:t>à</w:t>
      </w:r>
      <w:proofErr w:type="gramEnd"/>
      <w:r w:rsidRPr="005D6F45">
        <w:t xml:space="preserve"> 10 heures 30 minutes à l’adresse suivante : </w:t>
      </w:r>
      <w:r w:rsidRPr="005D6F45">
        <w:rPr>
          <w:b/>
        </w:rPr>
        <w:t>Direction des Finances et du Matériel du Ministère de l’Economie et des Finances.</w:t>
      </w:r>
    </w:p>
    <w:p w14:paraId="483A1B74" w14:textId="77777777" w:rsidR="007F3B6E" w:rsidRPr="005D6F45" w:rsidRDefault="007F3B6E" w:rsidP="007F3B6E">
      <w:pPr>
        <w:spacing w:line="360" w:lineRule="auto"/>
        <w:ind w:left="5664"/>
        <w:rPr>
          <w:b/>
        </w:rPr>
      </w:pPr>
      <w:r w:rsidRPr="005D6F45">
        <w:rPr>
          <w:b/>
        </w:rPr>
        <w:t>Bamako, le ………………</w:t>
      </w:r>
      <w:proofErr w:type="gramStart"/>
      <w:r w:rsidRPr="005D6F45">
        <w:rPr>
          <w:b/>
        </w:rPr>
        <w:t>…….</w:t>
      </w:r>
      <w:proofErr w:type="gramEnd"/>
      <w:r w:rsidRPr="005D6F45">
        <w:rPr>
          <w:b/>
        </w:rPr>
        <w:t>.</w:t>
      </w:r>
    </w:p>
    <w:p w14:paraId="783C074E" w14:textId="77777777" w:rsidR="007F3B6E" w:rsidRPr="005D6F45" w:rsidRDefault="007F3B6E" w:rsidP="007F3B6E">
      <w:pPr>
        <w:spacing w:line="360" w:lineRule="auto"/>
        <w:ind w:left="3540" w:firstLine="708"/>
        <w:jc w:val="left"/>
        <w:rPr>
          <w:b/>
        </w:rPr>
      </w:pPr>
      <w:r w:rsidRPr="005D6F45">
        <w:rPr>
          <w:b/>
        </w:rPr>
        <w:t>Le Directeur des Finances et du Matériel</w:t>
      </w:r>
    </w:p>
    <w:p w14:paraId="31F13732" w14:textId="77777777" w:rsidR="007F3B6E" w:rsidRPr="005D6F45" w:rsidRDefault="007F3B6E" w:rsidP="007F3B6E">
      <w:r w:rsidRPr="005D6F45">
        <w:t xml:space="preserve">                                                                                                                         </w:t>
      </w:r>
    </w:p>
    <w:p w14:paraId="0DDF3662" w14:textId="77777777" w:rsidR="007F3B6E" w:rsidRPr="005D6F45" w:rsidRDefault="007F3B6E" w:rsidP="007F3B6E">
      <w:r w:rsidRPr="005D6F45">
        <w:t xml:space="preserve"> </w:t>
      </w:r>
    </w:p>
    <w:p w14:paraId="47361070" w14:textId="77777777" w:rsidR="007F3B6E" w:rsidRPr="005D6F45" w:rsidRDefault="007F3B6E" w:rsidP="007F3B6E"/>
    <w:p w14:paraId="0021736E" w14:textId="77777777" w:rsidR="007F3B6E" w:rsidRPr="005D6F45" w:rsidRDefault="007F3B6E" w:rsidP="007F3B6E">
      <w:r w:rsidRPr="005D6F45">
        <w:rPr>
          <w:rFonts w:ascii="Cambria" w:hAnsi="Cambria"/>
          <w:b/>
        </w:rPr>
        <w:t xml:space="preserve">                                                                                                         </w:t>
      </w:r>
      <w:r w:rsidRPr="005D6F45">
        <w:rPr>
          <w:noProof/>
        </w:rPr>
        <mc:AlternateContent>
          <mc:Choice Requires="wps">
            <w:drawing>
              <wp:anchor distT="0" distB="0" distL="114300" distR="114300" simplePos="0" relativeHeight="251659264" behindDoc="0" locked="0" layoutInCell="1" allowOverlap="1" wp14:anchorId="253B0B1D" wp14:editId="65261CFE">
                <wp:simplePos x="0" y="0"/>
                <wp:positionH relativeFrom="column">
                  <wp:posOffset>6398898</wp:posOffset>
                </wp:positionH>
                <wp:positionV relativeFrom="paragraph">
                  <wp:posOffset>158748</wp:posOffset>
                </wp:positionV>
                <wp:extent cx="85094" cy="45089"/>
                <wp:effectExtent l="0" t="0" r="0" b="0"/>
                <wp:wrapNone/>
                <wp:docPr id="1625616950" name="Zone de texte 2"/>
                <wp:cNvGraphicFramePr/>
                <a:graphic xmlns:a="http://schemas.openxmlformats.org/drawingml/2006/main">
                  <a:graphicData uri="http://schemas.microsoft.com/office/word/2010/wordprocessingShape">
                    <wps:wsp>
                      <wps:cNvSpPr txBox="1"/>
                      <wps:spPr>
                        <a:xfrm>
                          <a:off x="0" y="0"/>
                          <a:ext cx="85094" cy="45089"/>
                        </a:xfrm>
                        <a:prstGeom prst="rect">
                          <a:avLst/>
                        </a:prstGeom>
                        <a:solidFill>
                          <a:srgbClr val="FFFFFF"/>
                        </a:solidFill>
                        <a:ln>
                          <a:noFill/>
                          <a:prstDash/>
                        </a:ln>
                      </wps:spPr>
                      <wps:txbx>
                        <w:txbxContent>
                          <w:p w14:paraId="5789FB53" w14:textId="77777777" w:rsidR="007F3B6E" w:rsidRDefault="007F3B6E" w:rsidP="007F3B6E"/>
                          <w:p w14:paraId="637B80C8" w14:textId="77777777" w:rsidR="007F3B6E" w:rsidRDefault="007F3B6E" w:rsidP="007F3B6E"/>
                          <w:p w14:paraId="14086C80" w14:textId="77777777" w:rsidR="007F3B6E" w:rsidRDefault="007F3B6E" w:rsidP="007F3B6E"/>
                          <w:p w14:paraId="223716EF" w14:textId="77777777" w:rsidR="007F3B6E" w:rsidRDefault="007F3B6E" w:rsidP="007F3B6E"/>
                          <w:p w14:paraId="36779DA6" w14:textId="77777777" w:rsidR="007F3B6E" w:rsidRDefault="007F3B6E" w:rsidP="007F3B6E"/>
                          <w:p w14:paraId="25E7C671" w14:textId="77777777" w:rsidR="007F3B6E" w:rsidRDefault="007F3B6E" w:rsidP="007F3B6E"/>
                          <w:p w14:paraId="47B4AE6C" w14:textId="77777777" w:rsidR="007F3B6E" w:rsidRDefault="007F3B6E" w:rsidP="007F3B6E"/>
                          <w:p w14:paraId="7994491C" w14:textId="77777777" w:rsidR="007F3B6E" w:rsidRDefault="007F3B6E" w:rsidP="007F3B6E"/>
                          <w:p w14:paraId="48C5BC3F" w14:textId="77777777" w:rsidR="007F3B6E" w:rsidRDefault="007F3B6E" w:rsidP="007F3B6E"/>
                          <w:p w14:paraId="64D38724" w14:textId="77777777" w:rsidR="007F3B6E" w:rsidRDefault="007F3B6E" w:rsidP="007F3B6E"/>
                          <w:p w14:paraId="21F44A25" w14:textId="77777777" w:rsidR="007F3B6E" w:rsidRDefault="007F3B6E" w:rsidP="007F3B6E"/>
                          <w:p w14:paraId="33CD2DA8" w14:textId="77777777" w:rsidR="007F3B6E" w:rsidRDefault="007F3B6E" w:rsidP="007F3B6E"/>
                          <w:p w14:paraId="615D530E" w14:textId="77777777" w:rsidR="007F3B6E" w:rsidRDefault="007F3B6E" w:rsidP="007F3B6E"/>
                          <w:p w14:paraId="544835CC" w14:textId="77777777" w:rsidR="007F3B6E" w:rsidRDefault="007F3B6E" w:rsidP="007F3B6E"/>
                          <w:p w14:paraId="7144BAA8" w14:textId="77777777" w:rsidR="007F3B6E" w:rsidRDefault="007F3B6E" w:rsidP="007F3B6E"/>
                          <w:p w14:paraId="74B9C048" w14:textId="77777777" w:rsidR="007F3B6E" w:rsidRDefault="007F3B6E" w:rsidP="007F3B6E"/>
                          <w:p w14:paraId="151270BC" w14:textId="77777777" w:rsidR="007F3B6E" w:rsidRDefault="007F3B6E" w:rsidP="007F3B6E"/>
                          <w:p w14:paraId="7F7BA965" w14:textId="77777777" w:rsidR="007F3B6E" w:rsidRDefault="007F3B6E" w:rsidP="007F3B6E"/>
                          <w:p w14:paraId="461E845F" w14:textId="77777777" w:rsidR="007F3B6E" w:rsidRDefault="007F3B6E" w:rsidP="007F3B6E"/>
                          <w:p w14:paraId="1BC913F2" w14:textId="77777777" w:rsidR="007F3B6E" w:rsidRDefault="007F3B6E" w:rsidP="007F3B6E"/>
                          <w:p w14:paraId="0C0EDFD1" w14:textId="77777777" w:rsidR="007F3B6E" w:rsidRDefault="007F3B6E" w:rsidP="007F3B6E"/>
                          <w:p w14:paraId="31AD118B" w14:textId="77777777" w:rsidR="007F3B6E" w:rsidRDefault="007F3B6E" w:rsidP="007F3B6E"/>
                          <w:p w14:paraId="5786D950" w14:textId="77777777" w:rsidR="007F3B6E" w:rsidRDefault="007F3B6E" w:rsidP="007F3B6E"/>
                          <w:p w14:paraId="6B4BA767" w14:textId="77777777" w:rsidR="007F3B6E" w:rsidRDefault="007F3B6E" w:rsidP="007F3B6E"/>
                          <w:p w14:paraId="50621659" w14:textId="77777777" w:rsidR="007F3B6E" w:rsidRDefault="007F3B6E" w:rsidP="007F3B6E"/>
                          <w:p w14:paraId="5E003EF4" w14:textId="77777777" w:rsidR="007F3B6E" w:rsidRDefault="007F3B6E" w:rsidP="007F3B6E"/>
                          <w:p w14:paraId="4A7C02B0" w14:textId="77777777" w:rsidR="007F3B6E" w:rsidRDefault="007F3B6E" w:rsidP="007F3B6E"/>
                          <w:p w14:paraId="127FF0EF" w14:textId="77777777" w:rsidR="007F3B6E" w:rsidRDefault="007F3B6E" w:rsidP="007F3B6E"/>
                          <w:p w14:paraId="514AAFE1" w14:textId="77777777" w:rsidR="007F3B6E" w:rsidRDefault="007F3B6E" w:rsidP="007F3B6E"/>
                          <w:p w14:paraId="394A2747" w14:textId="77777777" w:rsidR="007F3B6E" w:rsidRDefault="007F3B6E" w:rsidP="007F3B6E"/>
                          <w:p w14:paraId="6CD18EC8" w14:textId="77777777" w:rsidR="007F3B6E" w:rsidRDefault="007F3B6E" w:rsidP="007F3B6E"/>
                          <w:p w14:paraId="3E5F6D24" w14:textId="77777777" w:rsidR="007F3B6E" w:rsidRDefault="007F3B6E" w:rsidP="007F3B6E"/>
                          <w:p w14:paraId="6DEAD9DD" w14:textId="77777777" w:rsidR="007F3B6E" w:rsidRDefault="007F3B6E" w:rsidP="007F3B6E"/>
                          <w:p w14:paraId="65B4E0AE" w14:textId="77777777" w:rsidR="007F3B6E" w:rsidRDefault="007F3B6E" w:rsidP="007F3B6E"/>
                          <w:p w14:paraId="671C548A" w14:textId="77777777" w:rsidR="007F3B6E" w:rsidRDefault="007F3B6E" w:rsidP="007F3B6E"/>
                          <w:p w14:paraId="44E43076" w14:textId="77777777" w:rsidR="007F3B6E" w:rsidRDefault="007F3B6E" w:rsidP="007F3B6E"/>
                          <w:p w14:paraId="01240227" w14:textId="77777777" w:rsidR="007F3B6E" w:rsidRDefault="007F3B6E" w:rsidP="007F3B6E"/>
                          <w:p w14:paraId="5D733921" w14:textId="77777777" w:rsidR="007F3B6E" w:rsidRDefault="007F3B6E" w:rsidP="007F3B6E"/>
                          <w:p w14:paraId="28639237" w14:textId="77777777" w:rsidR="007F3B6E" w:rsidRDefault="007F3B6E" w:rsidP="007F3B6E"/>
                          <w:p w14:paraId="0EED0427" w14:textId="77777777" w:rsidR="007F3B6E" w:rsidRDefault="007F3B6E" w:rsidP="007F3B6E"/>
                          <w:p w14:paraId="35C4FA2D" w14:textId="77777777" w:rsidR="007F3B6E" w:rsidRDefault="007F3B6E" w:rsidP="007F3B6E"/>
                          <w:p w14:paraId="60BE580D" w14:textId="77777777" w:rsidR="007F3B6E" w:rsidRDefault="007F3B6E" w:rsidP="007F3B6E"/>
                          <w:p w14:paraId="0144E469" w14:textId="77777777" w:rsidR="007F3B6E" w:rsidRDefault="007F3B6E" w:rsidP="007F3B6E"/>
                          <w:p w14:paraId="4AFB4305" w14:textId="77777777" w:rsidR="007F3B6E" w:rsidRDefault="007F3B6E" w:rsidP="007F3B6E"/>
                          <w:p w14:paraId="2446FD79" w14:textId="77777777" w:rsidR="007F3B6E" w:rsidRDefault="007F3B6E" w:rsidP="007F3B6E"/>
                          <w:p w14:paraId="5276C40D" w14:textId="77777777" w:rsidR="007F3B6E" w:rsidRDefault="007F3B6E" w:rsidP="007F3B6E"/>
                          <w:p w14:paraId="314C104C" w14:textId="77777777" w:rsidR="007F3B6E" w:rsidRDefault="007F3B6E" w:rsidP="007F3B6E">
                            <w:r>
                              <w:t>.</w:t>
                            </w:r>
                          </w:p>
                          <w:p w14:paraId="4E1A0AD3" w14:textId="77777777" w:rsidR="007F3B6E" w:rsidRDefault="007F3B6E" w:rsidP="007F3B6E"/>
                          <w:p w14:paraId="581E2AF9" w14:textId="77777777" w:rsidR="007F3B6E" w:rsidRDefault="007F3B6E" w:rsidP="007F3B6E"/>
                          <w:p w14:paraId="186388FF" w14:textId="77777777" w:rsidR="007F3B6E" w:rsidRDefault="007F3B6E" w:rsidP="007F3B6E"/>
                          <w:p w14:paraId="3D8B5FC0" w14:textId="77777777" w:rsidR="007F3B6E" w:rsidRDefault="007F3B6E" w:rsidP="007F3B6E"/>
                          <w:p w14:paraId="26E51CAC" w14:textId="77777777" w:rsidR="007F3B6E" w:rsidRDefault="007F3B6E" w:rsidP="007F3B6E"/>
                          <w:p w14:paraId="3E89B6BF" w14:textId="77777777" w:rsidR="007F3B6E" w:rsidRDefault="007F3B6E" w:rsidP="007F3B6E"/>
                          <w:p w14:paraId="44348312" w14:textId="77777777" w:rsidR="007F3B6E" w:rsidRDefault="007F3B6E" w:rsidP="007F3B6E"/>
                          <w:p w14:paraId="2D952088" w14:textId="77777777" w:rsidR="007F3B6E" w:rsidRDefault="007F3B6E" w:rsidP="007F3B6E"/>
                          <w:p w14:paraId="4D0DD6D3" w14:textId="77777777" w:rsidR="007F3B6E" w:rsidRDefault="007F3B6E" w:rsidP="007F3B6E"/>
                          <w:p w14:paraId="26F73931" w14:textId="77777777" w:rsidR="007F3B6E" w:rsidRDefault="007F3B6E" w:rsidP="007F3B6E"/>
                          <w:p w14:paraId="7559CCC9" w14:textId="77777777" w:rsidR="007F3B6E" w:rsidRDefault="007F3B6E" w:rsidP="007F3B6E"/>
                        </w:txbxContent>
                      </wps:txbx>
                      <wps:bodyPr vert="horz" wrap="square" lIns="91440" tIns="45720" rIns="91440" bIns="45720" anchor="t" anchorCtr="0" compatLnSpc="0">
                        <a:noAutofit/>
                      </wps:bodyPr>
                    </wps:wsp>
                  </a:graphicData>
                </a:graphic>
              </wp:anchor>
            </w:drawing>
          </mc:Choice>
          <mc:Fallback>
            <w:pict>
              <v:shapetype w14:anchorId="253B0B1D" id="_x0000_t202" coordsize="21600,21600" o:spt="202" path="m,l,21600r21600,l21600,xe">
                <v:stroke joinstyle="miter"/>
                <v:path gradientshapeok="t" o:connecttype="rect"/>
              </v:shapetype>
              <v:shape id="Zone de texte 2" o:spid="_x0000_s1026" type="#_x0000_t202" style="position:absolute;left:0;text-align:left;margin-left:503.85pt;margin-top:12.5pt;width:6.7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" stroked="f">
                <v:textbox>
                  <w:txbxContent>
                    <w:p w14:paraId="5789FB53" w14:textId="77777777" w:rsidR="007F3B6E" w:rsidRDefault="007F3B6E" w:rsidP="007F3B6E"/>
                    <w:p w14:paraId="637B80C8" w14:textId="77777777" w:rsidR="007F3B6E" w:rsidRDefault="007F3B6E" w:rsidP="007F3B6E"/>
                    <w:p w14:paraId="14086C80" w14:textId="77777777" w:rsidR="007F3B6E" w:rsidRDefault="007F3B6E" w:rsidP="007F3B6E"/>
                    <w:p w14:paraId="223716EF" w14:textId="77777777" w:rsidR="007F3B6E" w:rsidRDefault="007F3B6E" w:rsidP="007F3B6E"/>
                    <w:p w14:paraId="36779DA6" w14:textId="77777777" w:rsidR="007F3B6E" w:rsidRDefault="007F3B6E" w:rsidP="007F3B6E"/>
                    <w:p w14:paraId="25E7C671" w14:textId="77777777" w:rsidR="007F3B6E" w:rsidRDefault="007F3B6E" w:rsidP="007F3B6E"/>
                    <w:p w14:paraId="47B4AE6C" w14:textId="77777777" w:rsidR="007F3B6E" w:rsidRDefault="007F3B6E" w:rsidP="007F3B6E"/>
                    <w:p w14:paraId="7994491C" w14:textId="77777777" w:rsidR="007F3B6E" w:rsidRDefault="007F3B6E" w:rsidP="007F3B6E"/>
                    <w:p w14:paraId="48C5BC3F" w14:textId="77777777" w:rsidR="007F3B6E" w:rsidRDefault="007F3B6E" w:rsidP="007F3B6E"/>
                    <w:p w14:paraId="64D38724" w14:textId="77777777" w:rsidR="007F3B6E" w:rsidRDefault="007F3B6E" w:rsidP="007F3B6E"/>
                    <w:p w14:paraId="21F44A25" w14:textId="77777777" w:rsidR="007F3B6E" w:rsidRDefault="007F3B6E" w:rsidP="007F3B6E"/>
                    <w:p w14:paraId="33CD2DA8" w14:textId="77777777" w:rsidR="007F3B6E" w:rsidRDefault="007F3B6E" w:rsidP="007F3B6E"/>
                    <w:p w14:paraId="615D530E" w14:textId="77777777" w:rsidR="007F3B6E" w:rsidRDefault="007F3B6E" w:rsidP="007F3B6E"/>
                    <w:p w14:paraId="544835CC" w14:textId="77777777" w:rsidR="007F3B6E" w:rsidRDefault="007F3B6E" w:rsidP="007F3B6E"/>
                    <w:p w14:paraId="7144BAA8" w14:textId="77777777" w:rsidR="007F3B6E" w:rsidRDefault="007F3B6E" w:rsidP="007F3B6E"/>
                    <w:p w14:paraId="74B9C048" w14:textId="77777777" w:rsidR="007F3B6E" w:rsidRDefault="007F3B6E" w:rsidP="007F3B6E"/>
                    <w:p w14:paraId="151270BC" w14:textId="77777777" w:rsidR="007F3B6E" w:rsidRDefault="007F3B6E" w:rsidP="007F3B6E"/>
                    <w:p w14:paraId="7F7BA965" w14:textId="77777777" w:rsidR="007F3B6E" w:rsidRDefault="007F3B6E" w:rsidP="007F3B6E"/>
                    <w:p w14:paraId="461E845F" w14:textId="77777777" w:rsidR="007F3B6E" w:rsidRDefault="007F3B6E" w:rsidP="007F3B6E"/>
                    <w:p w14:paraId="1BC913F2" w14:textId="77777777" w:rsidR="007F3B6E" w:rsidRDefault="007F3B6E" w:rsidP="007F3B6E"/>
                    <w:p w14:paraId="0C0EDFD1" w14:textId="77777777" w:rsidR="007F3B6E" w:rsidRDefault="007F3B6E" w:rsidP="007F3B6E"/>
                    <w:p w14:paraId="31AD118B" w14:textId="77777777" w:rsidR="007F3B6E" w:rsidRDefault="007F3B6E" w:rsidP="007F3B6E"/>
                    <w:p w14:paraId="5786D950" w14:textId="77777777" w:rsidR="007F3B6E" w:rsidRDefault="007F3B6E" w:rsidP="007F3B6E"/>
                    <w:p w14:paraId="6B4BA767" w14:textId="77777777" w:rsidR="007F3B6E" w:rsidRDefault="007F3B6E" w:rsidP="007F3B6E"/>
                    <w:p w14:paraId="50621659" w14:textId="77777777" w:rsidR="007F3B6E" w:rsidRDefault="007F3B6E" w:rsidP="007F3B6E"/>
                    <w:p w14:paraId="5E003EF4" w14:textId="77777777" w:rsidR="007F3B6E" w:rsidRDefault="007F3B6E" w:rsidP="007F3B6E"/>
                    <w:p w14:paraId="4A7C02B0" w14:textId="77777777" w:rsidR="007F3B6E" w:rsidRDefault="007F3B6E" w:rsidP="007F3B6E"/>
                    <w:p w14:paraId="127FF0EF" w14:textId="77777777" w:rsidR="007F3B6E" w:rsidRDefault="007F3B6E" w:rsidP="007F3B6E"/>
                    <w:p w14:paraId="514AAFE1" w14:textId="77777777" w:rsidR="007F3B6E" w:rsidRDefault="007F3B6E" w:rsidP="007F3B6E"/>
                    <w:p w14:paraId="394A2747" w14:textId="77777777" w:rsidR="007F3B6E" w:rsidRDefault="007F3B6E" w:rsidP="007F3B6E"/>
                    <w:p w14:paraId="6CD18EC8" w14:textId="77777777" w:rsidR="007F3B6E" w:rsidRDefault="007F3B6E" w:rsidP="007F3B6E"/>
                    <w:p w14:paraId="3E5F6D24" w14:textId="77777777" w:rsidR="007F3B6E" w:rsidRDefault="007F3B6E" w:rsidP="007F3B6E"/>
                    <w:p w14:paraId="6DEAD9DD" w14:textId="77777777" w:rsidR="007F3B6E" w:rsidRDefault="007F3B6E" w:rsidP="007F3B6E"/>
                    <w:p w14:paraId="65B4E0AE" w14:textId="77777777" w:rsidR="007F3B6E" w:rsidRDefault="007F3B6E" w:rsidP="007F3B6E"/>
                    <w:p w14:paraId="671C548A" w14:textId="77777777" w:rsidR="007F3B6E" w:rsidRDefault="007F3B6E" w:rsidP="007F3B6E"/>
                    <w:p w14:paraId="44E43076" w14:textId="77777777" w:rsidR="007F3B6E" w:rsidRDefault="007F3B6E" w:rsidP="007F3B6E"/>
                    <w:p w14:paraId="01240227" w14:textId="77777777" w:rsidR="007F3B6E" w:rsidRDefault="007F3B6E" w:rsidP="007F3B6E"/>
                    <w:p w14:paraId="5D733921" w14:textId="77777777" w:rsidR="007F3B6E" w:rsidRDefault="007F3B6E" w:rsidP="007F3B6E"/>
                    <w:p w14:paraId="28639237" w14:textId="77777777" w:rsidR="007F3B6E" w:rsidRDefault="007F3B6E" w:rsidP="007F3B6E"/>
                    <w:p w14:paraId="0EED0427" w14:textId="77777777" w:rsidR="007F3B6E" w:rsidRDefault="007F3B6E" w:rsidP="007F3B6E"/>
                    <w:p w14:paraId="35C4FA2D" w14:textId="77777777" w:rsidR="007F3B6E" w:rsidRDefault="007F3B6E" w:rsidP="007F3B6E"/>
                    <w:p w14:paraId="60BE580D" w14:textId="77777777" w:rsidR="007F3B6E" w:rsidRDefault="007F3B6E" w:rsidP="007F3B6E"/>
                    <w:p w14:paraId="0144E469" w14:textId="77777777" w:rsidR="007F3B6E" w:rsidRDefault="007F3B6E" w:rsidP="007F3B6E"/>
                    <w:p w14:paraId="4AFB4305" w14:textId="77777777" w:rsidR="007F3B6E" w:rsidRDefault="007F3B6E" w:rsidP="007F3B6E"/>
                    <w:p w14:paraId="2446FD79" w14:textId="77777777" w:rsidR="007F3B6E" w:rsidRDefault="007F3B6E" w:rsidP="007F3B6E"/>
                    <w:p w14:paraId="5276C40D" w14:textId="77777777" w:rsidR="007F3B6E" w:rsidRDefault="007F3B6E" w:rsidP="007F3B6E"/>
                    <w:p w14:paraId="314C104C" w14:textId="77777777" w:rsidR="007F3B6E" w:rsidRDefault="007F3B6E" w:rsidP="007F3B6E">
                      <w:r>
                        <w:t>.</w:t>
                      </w:r>
                    </w:p>
                    <w:p w14:paraId="4E1A0AD3" w14:textId="77777777" w:rsidR="007F3B6E" w:rsidRDefault="007F3B6E" w:rsidP="007F3B6E"/>
                    <w:p w14:paraId="581E2AF9" w14:textId="77777777" w:rsidR="007F3B6E" w:rsidRDefault="007F3B6E" w:rsidP="007F3B6E"/>
                    <w:p w14:paraId="186388FF" w14:textId="77777777" w:rsidR="007F3B6E" w:rsidRDefault="007F3B6E" w:rsidP="007F3B6E"/>
                    <w:p w14:paraId="3D8B5FC0" w14:textId="77777777" w:rsidR="007F3B6E" w:rsidRDefault="007F3B6E" w:rsidP="007F3B6E"/>
                    <w:p w14:paraId="26E51CAC" w14:textId="77777777" w:rsidR="007F3B6E" w:rsidRDefault="007F3B6E" w:rsidP="007F3B6E"/>
                    <w:p w14:paraId="3E89B6BF" w14:textId="77777777" w:rsidR="007F3B6E" w:rsidRDefault="007F3B6E" w:rsidP="007F3B6E"/>
                    <w:p w14:paraId="44348312" w14:textId="77777777" w:rsidR="007F3B6E" w:rsidRDefault="007F3B6E" w:rsidP="007F3B6E"/>
                    <w:p w14:paraId="2D952088" w14:textId="77777777" w:rsidR="007F3B6E" w:rsidRDefault="007F3B6E" w:rsidP="007F3B6E"/>
                    <w:p w14:paraId="4D0DD6D3" w14:textId="77777777" w:rsidR="007F3B6E" w:rsidRDefault="007F3B6E" w:rsidP="007F3B6E"/>
                    <w:p w14:paraId="26F73931" w14:textId="77777777" w:rsidR="007F3B6E" w:rsidRDefault="007F3B6E" w:rsidP="007F3B6E"/>
                    <w:p w14:paraId="7559CCC9" w14:textId="77777777" w:rsidR="007F3B6E" w:rsidRDefault="007F3B6E" w:rsidP="007F3B6E"/>
                  </w:txbxContent>
                </v:textbox>
              </v:shape>
            </w:pict>
          </mc:Fallback>
        </mc:AlternateContent>
      </w:r>
      <w:r w:rsidRPr="005D6F45">
        <w:rPr>
          <w:b/>
          <w:u w:val="single"/>
        </w:rPr>
        <w:t>Yéhia Bouya TANDINA</w:t>
      </w:r>
    </w:p>
    <w:p w14:paraId="1E55F52A" w14:textId="3F230D4F" w:rsidR="007F3B6E" w:rsidRPr="007F3B6E" w:rsidRDefault="007F3B6E" w:rsidP="007F3B6E">
      <w:pPr>
        <w:rPr>
          <w:rFonts w:cs="Times New Roman"/>
          <w:iCs/>
          <w:sz w:val="20"/>
          <w:szCs w:val="20"/>
        </w:rPr>
      </w:pPr>
      <w:r w:rsidRPr="005D6F45">
        <w:rPr>
          <w:rFonts w:ascii="Cambria" w:hAnsi="Cambria"/>
          <w:i/>
          <w:sz w:val="20"/>
        </w:rPr>
        <w:t xml:space="preserve">                                                                                                                       </w:t>
      </w:r>
      <w:r>
        <w:rPr>
          <w:rFonts w:ascii="Cambria" w:hAnsi="Cambria"/>
          <w:i/>
          <w:sz w:val="20"/>
        </w:rPr>
        <w:t xml:space="preserve">       </w:t>
      </w:r>
      <w:r w:rsidRPr="005D6F45">
        <w:rPr>
          <w:rFonts w:ascii="Cambria" w:hAnsi="Cambria"/>
          <w:i/>
          <w:sz w:val="20"/>
        </w:rPr>
        <w:t xml:space="preserve">   </w:t>
      </w:r>
      <w:r w:rsidRPr="007F3B6E">
        <w:rPr>
          <w:rFonts w:cs="Times New Roman"/>
          <w:iCs/>
          <w:sz w:val="20"/>
          <w:szCs w:val="20"/>
        </w:rPr>
        <w:t>Chevalier de l’Ordre National</w:t>
      </w:r>
    </w:p>
    <w:p w14:paraId="62AB1A8F" w14:textId="77777777" w:rsidR="007F3B6E" w:rsidRDefault="007F3B6E"/>
    <w:sectPr w:rsidR="007F3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3299"/>
    <w:multiLevelType w:val="multilevel"/>
    <w:tmpl w:val="A830CC1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2B96642"/>
    <w:multiLevelType w:val="multilevel"/>
    <w:tmpl w:val="67360E06"/>
    <w:styleLink w:val="LFO3"/>
    <w:lvl w:ilvl="0">
      <w:start w:val="1"/>
      <w:numFmt w:val="decimal"/>
      <w:pStyle w:val="Style4"/>
      <w:lvlText w:val="%1."/>
      <w:lvlJc w:val="left"/>
      <w:pPr>
        <w:ind w:left="1065" w:hanging="705"/>
      </w:pPr>
    </w:lvl>
    <w:lvl w:ilvl="1">
      <w:start w:val="1"/>
      <w:numFmt w:val="decimal"/>
      <w:lvlText w:val="%1.%2"/>
      <w:lvlJc w:val="left"/>
      <w:pPr>
        <w:ind w:left="780" w:hanging="42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 w15:restartNumberingAfterBreak="0">
    <w:nsid w:val="4A671FB4"/>
    <w:multiLevelType w:val="multilevel"/>
    <w:tmpl w:val="DA685C2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9A01839"/>
    <w:multiLevelType w:val="multilevel"/>
    <w:tmpl w:val="2696BAB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4A7B98"/>
    <w:multiLevelType w:val="hybridMultilevel"/>
    <w:tmpl w:val="302ECD7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88632600">
    <w:abstractNumId w:val="1"/>
  </w:num>
  <w:num w:numId="2" w16cid:durableId="589895320">
    <w:abstractNumId w:val="3"/>
  </w:num>
  <w:num w:numId="3" w16cid:durableId="377781128">
    <w:abstractNumId w:val="0"/>
  </w:num>
  <w:num w:numId="4" w16cid:durableId="1266697478">
    <w:abstractNumId w:val="2"/>
  </w:num>
  <w:num w:numId="5" w16cid:durableId="1404988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6E"/>
    <w:rsid w:val="000E2A87"/>
    <w:rsid w:val="007F3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FF24"/>
  <w15:chartTrackingRefBased/>
  <w15:docId w15:val="{1267A49F-7126-4A24-8F62-5485EA07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B6E"/>
    <w:pPr>
      <w:suppressAutoHyphens/>
      <w:overflowPunct w:val="0"/>
      <w:autoSpaceDE w:val="0"/>
      <w:autoSpaceDN w:val="0"/>
      <w:spacing w:after="0" w:line="240" w:lineRule="auto"/>
      <w:jc w:val="both"/>
      <w:textAlignment w:val="baseline"/>
    </w:pPr>
    <w:rPr>
      <w:rFonts w:ascii="Times New Roman" w:eastAsia="Times New Roman" w:hAnsi="Times New Roman" w:cs="Arial"/>
      <w:kern w:val="0"/>
      <w:lang w:eastAsia="fr-FR"/>
      <w14:ligatures w14:val="none"/>
    </w:rPr>
  </w:style>
  <w:style w:type="paragraph" w:styleId="Titre1">
    <w:name w:val="heading 1"/>
    <w:basedOn w:val="Normal"/>
    <w:next w:val="Normal"/>
    <w:link w:val="Titre1Car"/>
    <w:uiPriority w:val="9"/>
    <w:qFormat/>
    <w:rsid w:val="007F3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F3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F3B6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F3B6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F3B6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F3B6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3B6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3B6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3B6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3B6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F3B6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F3B6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F3B6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F3B6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F3B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3B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3B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3B6E"/>
    <w:rPr>
      <w:rFonts w:eastAsiaTheme="majorEastAsia" w:cstheme="majorBidi"/>
      <w:color w:val="272727" w:themeColor="text1" w:themeTint="D8"/>
    </w:rPr>
  </w:style>
  <w:style w:type="paragraph" w:styleId="Titre">
    <w:name w:val="Title"/>
    <w:basedOn w:val="Normal"/>
    <w:next w:val="Normal"/>
    <w:link w:val="TitreCar"/>
    <w:uiPriority w:val="10"/>
    <w:qFormat/>
    <w:rsid w:val="007F3B6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3B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3B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3B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3B6E"/>
    <w:pPr>
      <w:spacing w:before="160"/>
      <w:jc w:val="center"/>
    </w:pPr>
    <w:rPr>
      <w:i/>
      <w:iCs/>
      <w:color w:val="404040" w:themeColor="text1" w:themeTint="BF"/>
    </w:rPr>
  </w:style>
  <w:style w:type="character" w:customStyle="1" w:styleId="CitationCar">
    <w:name w:val="Citation Car"/>
    <w:basedOn w:val="Policepardfaut"/>
    <w:link w:val="Citation"/>
    <w:uiPriority w:val="29"/>
    <w:rsid w:val="007F3B6E"/>
    <w:rPr>
      <w:i/>
      <w:iCs/>
      <w:color w:val="404040" w:themeColor="text1" w:themeTint="BF"/>
    </w:rPr>
  </w:style>
  <w:style w:type="paragraph" w:styleId="Paragraphedeliste">
    <w:name w:val="List Paragraph"/>
    <w:aliases w:val="Premier,Bullets,References,Liste 1,List Paragraph nowy,Numbered List Paragraph,List Paragraph (numbered (a)),Medium Grid 1 - Accent 21,Paragraphe de liste2,Tableau Adere,List Bullet Mary,Body,List Paragraph,Paragraphe de liste 1,RM1"/>
    <w:basedOn w:val="Normal"/>
    <w:link w:val="ParagraphedelisteCar"/>
    <w:uiPriority w:val="34"/>
    <w:qFormat/>
    <w:rsid w:val="007F3B6E"/>
    <w:pPr>
      <w:ind w:left="720"/>
      <w:contextualSpacing/>
    </w:pPr>
  </w:style>
  <w:style w:type="character" w:styleId="Accentuationintense">
    <w:name w:val="Intense Emphasis"/>
    <w:basedOn w:val="Policepardfaut"/>
    <w:uiPriority w:val="21"/>
    <w:qFormat/>
    <w:rsid w:val="007F3B6E"/>
    <w:rPr>
      <w:i/>
      <w:iCs/>
      <w:color w:val="2F5496" w:themeColor="accent1" w:themeShade="BF"/>
    </w:rPr>
  </w:style>
  <w:style w:type="paragraph" w:styleId="Citationintense">
    <w:name w:val="Intense Quote"/>
    <w:basedOn w:val="Normal"/>
    <w:next w:val="Normal"/>
    <w:link w:val="CitationintenseCar"/>
    <w:uiPriority w:val="30"/>
    <w:qFormat/>
    <w:rsid w:val="007F3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F3B6E"/>
    <w:rPr>
      <w:i/>
      <w:iCs/>
      <w:color w:val="2F5496" w:themeColor="accent1" w:themeShade="BF"/>
    </w:rPr>
  </w:style>
  <w:style w:type="character" w:styleId="Rfrenceintense">
    <w:name w:val="Intense Reference"/>
    <w:basedOn w:val="Policepardfaut"/>
    <w:uiPriority w:val="32"/>
    <w:qFormat/>
    <w:rsid w:val="007F3B6E"/>
    <w:rPr>
      <w:b/>
      <w:bCs/>
      <w:smallCaps/>
      <w:color w:val="2F5496" w:themeColor="accent1" w:themeShade="BF"/>
      <w:spacing w:val="5"/>
    </w:rPr>
  </w:style>
  <w:style w:type="paragraph" w:customStyle="1" w:styleId="Part">
    <w:name w:val="Part"/>
    <w:basedOn w:val="Normal"/>
    <w:next w:val="Normal"/>
    <w:rsid w:val="007F3B6E"/>
    <w:pPr>
      <w:spacing w:before="1200"/>
      <w:jc w:val="center"/>
    </w:pPr>
    <w:rPr>
      <w:b/>
      <w:sz w:val="56"/>
    </w:rPr>
  </w:style>
  <w:style w:type="paragraph" w:customStyle="1" w:styleId="Style4">
    <w:name w:val="Style4"/>
    <w:basedOn w:val="Paragraphedeliste"/>
    <w:link w:val="Style4Car"/>
    <w:qFormat/>
    <w:rsid w:val="007F3B6E"/>
    <w:pPr>
      <w:numPr>
        <w:numId w:val="1"/>
      </w:numPr>
      <w:contextualSpacing w:val="0"/>
      <w:jc w:val="center"/>
      <w:outlineLvl w:val="1"/>
    </w:pPr>
    <w:rPr>
      <w:rFonts w:eastAsia="Calibri" w:cs="Times New Roman"/>
      <w:b/>
      <w:sz w:val="36"/>
      <w:szCs w:val="36"/>
    </w:rPr>
  </w:style>
  <w:style w:type="numbering" w:customStyle="1" w:styleId="LFO3">
    <w:name w:val="LFO3"/>
    <w:basedOn w:val="Aucuneliste"/>
    <w:rsid w:val="007F3B6E"/>
    <w:pPr>
      <w:numPr>
        <w:numId w:val="1"/>
      </w:numPr>
    </w:pPr>
  </w:style>
  <w:style w:type="character" w:customStyle="1" w:styleId="ParagraphedelisteCar">
    <w:name w:val="Paragraphe de liste Car"/>
    <w:aliases w:val="Premier Car,Bullets Car,References Car,Liste 1 Car,List Paragraph nowy Car,Numbered List Paragraph Car,List Paragraph (numbered (a)) Car,Medium Grid 1 - Accent 21 Car,Paragraphe de liste2 Car,Tableau Adere Car,Body Car,RM1 Car"/>
    <w:basedOn w:val="Policepardfaut"/>
    <w:link w:val="Paragraphedeliste"/>
    <w:uiPriority w:val="34"/>
    <w:qFormat/>
    <w:rsid w:val="007F3B6E"/>
  </w:style>
  <w:style w:type="character" w:customStyle="1" w:styleId="Style4Car">
    <w:name w:val="Style4 Car"/>
    <w:basedOn w:val="Policepardfaut"/>
    <w:link w:val="Style4"/>
    <w:rsid w:val="007F3B6E"/>
    <w:rPr>
      <w:rFonts w:ascii="Times New Roman" w:eastAsia="Calibri" w:hAnsi="Times New Roman" w:cs="Times New Roman"/>
      <w:b/>
      <w:kern w:val="0"/>
      <w:sz w:val="36"/>
      <w:szCs w:val="3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1372</Words>
  <Characters>7551</Characters>
  <Application>Microsoft Office Word</Application>
  <DocSecurity>0</DocSecurity>
  <Lines>62</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 USER</cp:lastModifiedBy>
  <cp:revision>1</cp:revision>
  <dcterms:created xsi:type="dcterms:W3CDTF">2026-02-17T13:40:00Z</dcterms:created>
  <dcterms:modified xsi:type="dcterms:W3CDTF">2026-02-17T13:45:00Z</dcterms:modified>
</cp:coreProperties>
</file>