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F231" w14:textId="77777777" w:rsidR="00404D58" w:rsidRPr="00E72D03" w:rsidRDefault="00404D58" w:rsidP="00404D58">
      <w:pPr>
        <w:pStyle w:val="BankNormal"/>
        <w:spacing w:after="0"/>
        <w:jc w:val="center"/>
        <w:rPr>
          <w:rFonts w:cs="Times New Roman"/>
          <w:sz w:val="32"/>
          <w:szCs w:val="32"/>
          <w:lang w:val="fr-FR"/>
        </w:rPr>
      </w:pPr>
      <w:r w:rsidRPr="00E72D03">
        <w:rPr>
          <w:rFonts w:cs="Times New Roman"/>
          <w:b/>
          <w:sz w:val="32"/>
          <w:szCs w:val="32"/>
          <w:lang w:val="fr-FR"/>
        </w:rPr>
        <w:t>Avis d’Appel d’Offres Ouvert (AAOO)</w:t>
      </w:r>
    </w:p>
    <w:p w14:paraId="3B502109" w14:textId="77777777" w:rsidR="00404D58" w:rsidRPr="0037413B" w:rsidRDefault="00404D58" w:rsidP="00404D58">
      <w:pPr>
        <w:jc w:val="center"/>
        <w:rPr>
          <w:rFonts w:cs="Times New Roman"/>
          <w:bCs/>
          <w:i/>
          <w:iCs/>
        </w:rPr>
      </w:pPr>
    </w:p>
    <w:p w14:paraId="0C103668" w14:textId="77777777" w:rsidR="00404D58" w:rsidRPr="00E72D03" w:rsidRDefault="00404D58" w:rsidP="00404D58">
      <w:pPr>
        <w:jc w:val="center"/>
        <w:rPr>
          <w:rFonts w:cs="Times New Roman"/>
          <w:bCs/>
          <w:i/>
          <w:iCs/>
          <w:sz w:val="32"/>
          <w:szCs w:val="32"/>
        </w:rPr>
      </w:pPr>
      <w:r w:rsidRPr="00E72D03">
        <w:rPr>
          <w:rFonts w:cs="Times New Roman"/>
          <w:bCs/>
          <w:i/>
          <w:iCs/>
          <w:sz w:val="32"/>
          <w:szCs w:val="32"/>
        </w:rPr>
        <w:t xml:space="preserve">Ministère de l’Entrepreneuriat National, de l’Emploi et de la Formation Professionnelle </w:t>
      </w:r>
    </w:p>
    <w:p w14:paraId="6503E8FA" w14:textId="77777777" w:rsidR="00404D58" w:rsidRPr="0037413B" w:rsidRDefault="00404D58" w:rsidP="00404D58">
      <w:pPr>
        <w:jc w:val="center"/>
        <w:rPr>
          <w:rFonts w:cs="Times New Roman"/>
          <w:bCs/>
          <w:i/>
          <w:iCs/>
        </w:rPr>
      </w:pPr>
    </w:p>
    <w:p w14:paraId="7C430310" w14:textId="66E4D116" w:rsidR="00404D58" w:rsidRPr="00E72D03" w:rsidRDefault="00404D58" w:rsidP="00E72D03">
      <w:pPr>
        <w:jc w:val="center"/>
        <w:rPr>
          <w:rFonts w:cs="Times New Roman"/>
          <w:bCs/>
          <w:i/>
          <w:iCs/>
        </w:rPr>
      </w:pPr>
      <w:r w:rsidRPr="0037413B">
        <w:rPr>
          <w:rFonts w:cs="Times New Roman"/>
          <w:bCs/>
          <w:i/>
          <w:iCs/>
        </w:rPr>
        <w:t>AAO0 N°001T/MENEFP-DFM/2025</w:t>
      </w:r>
    </w:p>
    <w:p w14:paraId="31D987F5" w14:textId="77777777" w:rsidR="00404D58" w:rsidRPr="0037413B" w:rsidRDefault="00404D58" w:rsidP="00404D58">
      <w:pPr>
        <w:rPr>
          <w:rFonts w:cs="Times New Roman"/>
        </w:rPr>
      </w:pPr>
    </w:p>
    <w:p w14:paraId="01418153" w14:textId="77777777" w:rsidR="00404D58" w:rsidRPr="0037413B" w:rsidRDefault="00404D58" w:rsidP="00404D58">
      <w:pPr>
        <w:numPr>
          <w:ilvl w:val="0"/>
          <w:numId w:val="2"/>
        </w:numPr>
        <w:rPr>
          <w:rFonts w:cs="Times New Roman"/>
          <w:b/>
          <w:bCs/>
        </w:rPr>
      </w:pPr>
      <w:r w:rsidRPr="0037413B">
        <w:rPr>
          <w:rFonts w:cs="Times New Roman"/>
        </w:rPr>
        <w:t xml:space="preserve">Le </w:t>
      </w:r>
      <w:r w:rsidRPr="0037413B">
        <w:rPr>
          <w:rFonts w:cs="Times New Roman"/>
          <w:b/>
          <w:bCs/>
        </w:rPr>
        <w:t>Mi</w:t>
      </w:r>
      <w:r w:rsidRPr="0037413B">
        <w:rPr>
          <w:rFonts w:cs="Times New Roman"/>
          <w:b/>
        </w:rPr>
        <w:t xml:space="preserve">nistère de l’Entrepreneuriat National, de l’Emploi et de la Formation Professionnelle </w:t>
      </w:r>
      <w:r w:rsidRPr="0037413B">
        <w:rPr>
          <w:rFonts w:cs="Times New Roman"/>
        </w:rPr>
        <w:t xml:space="preserve">a obtenu des fonds sur le Budget National exercices </w:t>
      </w:r>
      <w:r w:rsidRPr="00E72D03">
        <w:rPr>
          <w:rFonts w:cs="Times New Roman"/>
        </w:rPr>
        <w:t>2025-2026</w:t>
      </w:r>
      <w:r w:rsidRPr="0037413B">
        <w:rPr>
          <w:rFonts w:cs="Times New Roman"/>
        </w:rPr>
        <w:t xml:space="preserve">, afin de financer </w:t>
      </w:r>
      <w:r w:rsidRPr="0037413B">
        <w:rPr>
          <w:rFonts w:cs="Times New Roman"/>
          <w:b/>
          <w:bCs/>
        </w:rPr>
        <w:t>le projet des travaux complémentaires</w:t>
      </w:r>
      <w:r w:rsidRPr="0037413B">
        <w:rPr>
          <w:rFonts w:cs="Times New Roman"/>
          <w:b/>
          <w:bCs/>
          <w:lang w:val="fr-ML"/>
        </w:rPr>
        <w:t xml:space="preserve"> du raccordement électrique de la Ferme école de </w:t>
      </w:r>
      <w:proofErr w:type="spellStart"/>
      <w:r w:rsidRPr="0037413B">
        <w:rPr>
          <w:rFonts w:cs="Times New Roman"/>
          <w:b/>
          <w:bCs/>
          <w:lang w:val="fr-ML"/>
        </w:rPr>
        <w:t>Mofa</w:t>
      </w:r>
      <w:proofErr w:type="spellEnd"/>
      <w:r w:rsidRPr="0037413B">
        <w:rPr>
          <w:rFonts w:cs="Times New Roman"/>
          <w:b/>
          <w:bCs/>
          <w:lang w:val="fr-ML"/>
        </w:rPr>
        <w:t xml:space="preserve"> au réseau EDM-SA,</w:t>
      </w:r>
      <w:r w:rsidRPr="0037413B">
        <w:rPr>
          <w:rFonts w:cs="Times New Roman"/>
        </w:rPr>
        <w:t xml:space="preserve"> et à l’intention d’utiliser une partie de ces fonds pour effectuer des paiements au titre du Marché relatif aux </w:t>
      </w:r>
      <w:r w:rsidRPr="0037413B">
        <w:rPr>
          <w:rFonts w:cs="Times New Roman"/>
          <w:b/>
          <w:bCs/>
          <w:iCs/>
        </w:rPr>
        <w:t>travaux complémentaires</w:t>
      </w:r>
      <w:r w:rsidRPr="0037413B">
        <w:rPr>
          <w:rFonts w:cs="Times New Roman"/>
          <w:b/>
          <w:bCs/>
          <w:iCs/>
          <w:lang w:val="fr-ML"/>
        </w:rPr>
        <w:t xml:space="preserve"> du raccordement électrique de la Ferme école de </w:t>
      </w:r>
      <w:proofErr w:type="spellStart"/>
      <w:r w:rsidRPr="0037413B">
        <w:rPr>
          <w:rFonts w:cs="Times New Roman"/>
          <w:b/>
          <w:bCs/>
          <w:iCs/>
          <w:lang w:val="fr-ML"/>
        </w:rPr>
        <w:t>Mofa</w:t>
      </w:r>
      <w:proofErr w:type="spellEnd"/>
      <w:r w:rsidRPr="0037413B">
        <w:rPr>
          <w:rFonts w:cs="Times New Roman"/>
          <w:b/>
          <w:bCs/>
          <w:iCs/>
          <w:lang w:val="fr-ML"/>
        </w:rPr>
        <w:t xml:space="preserve"> au réseau EDM-SA</w:t>
      </w:r>
      <w:r w:rsidRPr="0037413B">
        <w:rPr>
          <w:rFonts w:cs="Times New Roman"/>
          <w:b/>
          <w:bCs/>
          <w:iCs/>
        </w:rPr>
        <w:t>.</w:t>
      </w:r>
    </w:p>
    <w:p w14:paraId="490AECEC" w14:textId="77777777" w:rsidR="00404D58" w:rsidRPr="0037413B" w:rsidRDefault="00404D58" w:rsidP="00404D58">
      <w:pPr>
        <w:ind w:left="720"/>
        <w:rPr>
          <w:rFonts w:cs="Times New Roman"/>
          <w:b/>
          <w:bCs/>
        </w:rPr>
      </w:pPr>
    </w:p>
    <w:p w14:paraId="432FF42D" w14:textId="77777777" w:rsidR="00404D58" w:rsidRPr="0037413B" w:rsidRDefault="00404D58" w:rsidP="00404D58">
      <w:pPr>
        <w:numPr>
          <w:ilvl w:val="0"/>
          <w:numId w:val="2"/>
        </w:numPr>
        <w:rPr>
          <w:rFonts w:cs="Times New Roman"/>
          <w:b/>
          <w:bCs/>
        </w:rPr>
      </w:pPr>
      <w:r w:rsidRPr="0037413B">
        <w:rPr>
          <w:rFonts w:cs="Times New Roman"/>
        </w:rPr>
        <w:t xml:space="preserve">Le </w:t>
      </w:r>
      <w:r w:rsidRPr="0037413B">
        <w:rPr>
          <w:rFonts w:cs="Times New Roman"/>
          <w:b/>
          <w:bCs/>
        </w:rPr>
        <w:t>Mi</w:t>
      </w:r>
      <w:r w:rsidRPr="0037413B">
        <w:rPr>
          <w:rFonts w:cs="Times New Roman"/>
          <w:b/>
        </w:rPr>
        <w:t xml:space="preserve">nistère de l’Entrepreneuriat National, de l’Emploi et de la Formation Professionnelle </w:t>
      </w:r>
      <w:r w:rsidRPr="0037413B">
        <w:rPr>
          <w:rFonts w:cs="Times New Roman"/>
        </w:rPr>
        <w:t xml:space="preserve">sollicite des offres fermées de la part de candidats éligibles et répondant aux qualifications requises pour réaliser les travaux suivants : </w:t>
      </w:r>
      <w:r w:rsidRPr="0037413B">
        <w:rPr>
          <w:rFonts w:cs="Times New Roman"/>
          <w:b/>
          <w:bCs/>
          <w:iCs/>
        </w:rPr>
        <w:t>travaux complémentaires</w:t>
      </w:r>
      <w:r w:rsidRPr="0037413B">
        <w:rPr>
          <w:rFonts w:cs="Times New Roman"/>
          <w:b/>
          <w:bCs/>
          <w:iCs/>
          <w:lang w:val="fr-ML"/>
        </w:rPr>
        <w:t xml:space="preserve"> du raccordement électrique de la Ferme école de </w:t>
      </w:r>
      <w:proofErr w:type="spellStart"/>
      <w:r w:rsidRPr="0037413B">
        <w:rPr>
          <w:rFonts w:cs="Times New Roman"/>
          <w:b/>
          <w:bCs/>
          <w:iCs/>
          <w:lang w:val="fr-ML"/>
        </w:rPr>
        <w:t>Mofa</w:t>
      </w:r>
      <w:proofErr w:type="spellEnd"/>
      <w:r w:rsidRPr="0037413B">
        <w:rPr>
          <w:rFonts w:cs="Times New Roman"/>
          <w:b/>
          <w:bCs/>
          <w:iCs/>
          <w:lang w:val="fr-ML"/>
        </w:rPr>
        <w:t xml:space="preserve"> au réseau EDM-SA</w:t>
      </w:r>
      <w:r w:rsidRPr="0037413B">
        <w:rPr>
          <w:rFonts w:cs="Times New Roman"/>
          <w:b/>
          <w:bCs/>
          <w:iCs/>
        </w:rPr>
        <w:t>.</w:t>
      </w:r>
    </w:p>
    <w:p w14:paraId="21B72A81" w14:textId="77777777" w:rsidR="00404D58" w:rsidRPr="00404D58" w:rsidRDefault="00404D58" w:rsidP="00404D58">
      <w:pPr>
        <w:rPr>
          <w:rFonts w:cs="Times New Roman"/>
          <w:b/>
          <w:bCs/>
          <w:sz w:val="18"/>
          <w:szCs w:val="18"/>
        </w:rPr>
      </w:pPr>
    </w:p>
    <w:p w14:paraId="0AE66DA2" w14:textId="77777777" w:rsidR="00404D58" w:rsidRPr="0037413B" w:rsidRDefault="00404D58" w:rsidP="00404D58">
      <w:pPr>
        <w:numPr>
          <w:ilvl w:val="0"/>
          <w:numId w:val="2"/>
        </w:numPr>
        <w:rPr>
          <w:rFonts w:cs="Times New Roman"/>
        </w:rPr>
      </w:pPr>
      <w:r w:rsidRPr="0037413B">
        <w:rPr>
          <w:rFonts w:cs="Times New Roman"/>
        </w:rPr>
        <w:t xml:space="preserve">La passation du Marché sera conduite par Appel d’offres ouvert tel que défini dans le Code des Marchés publics à l’article 50, et ouvert à tous les candidats éligibles. </w:t>
      </w:r>
    </w:p>
    <w:p w14:paraId="4508A05D" w14:textId="77777777" w:rsidR="00404D58" w:rsidRPr="00936400" w:rsidRDefault="00404D58" w:rsidP="00404D58">
      <w:pPr>
        <w:rPr>
          <w:rFonts w:cs="Times New Roman"/>
          <w:sz w:val="16"/>
          <w:szCs w:val="16"/>
        </w:rPr>
      </w:pPr>
    </w:p>
    <w:p w14:paraId="76FCF8AF" w14:textId="77777777" w:rsidR="00404D58" w:rsidRPr="0037413B" w:rsidRDefault="00404D58" w:rsidP="00404D58">
      <w:pPr>
        <w:numPr>
          <w:ilvl w:val="0"/>
          <w:numId w:val="2"/>
        </w:numPr>
        <w:rPr>
          <w:rFonts w:cs="Times New Roman"/>
        </w:rPr>
      </w:pPr>
      <w:r w:rsidRPr="0037413B">
        <w:rPr>
          <w:rFonts w:cs="Times New Roman"/>
        </w:rPr>
        <w:t xml:space="preserve">Les candidats intéressés peuvent obtenir des informations auprès de la </w:t>
      </w:r>
      <w:r w:rsidRPr="0037413B">
        <w:rPr>
          <w:rFonts w:cs="Times New Roman"/>
          <w:b/>
          <w:iCs/>
        </w:rPr>
        <w:t xml:space="preserve">Direction des Finances et du Matériel du Ministère de l’Entrepreneuriat National de l’Emploi et de la Formation Professionnelle sise à Hamdallaye ACI 2000, TEL. : 00 223 20 23 04 20 </w:t>
      </w:r>
      <w:r w:rsidRPr="0037413B">
        <w:rPr>
          <w:rFonts w:cs="Times New Roman"/>
        </w:rPr>
        <w:t>et prendre connaissance des documents d’Appel d’offres à l’adresse mentionnée ci-dessus de tous les jours ouvrables de 08h à 16h00.</w:t>
      </w:r>
    </w:p>
    <w:p w14:paraId="61DD36CD" w14:textId="77777777" w:rsidR="00404D58" w:rsidRPr="00404D58" w:rsidRDefault="00404D58" w:rsidP="00404D58">
      <w:pPr>
        <w:rPr>
          <w:rFonts w:cs="Times New Roman"/>
          <w:sz w:val="20"/>
          <w:szCs w:val="20"/>
        </w:rPr>
      </w:pPr>
    </w:p>
    <w:p w14:paraId="7E8C3F98" w14:textId="77777777" w:rsidR="00404D58" w:rsidRPr="0037413B" w:rsidRDefault="00404D58" w:rsidP="00404D58">
      <w:pPr>
        <w:rPr>
          <w:rFonts w:cs="Times New Roman"/>
        </w:rPr>
      </w:pPr>
      <w:r w:rsidRPr="0037413B">
        <w:rPr>
          <w:rFonts w:cs="Times New Roman"/>
        </w:rPr>
        <w:t xml:space="preserve">Les exigences en matière de qualifications sont : </w:t>
      </w:r>
    </w:p>
    <w:p w14:paraId="6570A45A" w14:textId="77777777" w:rsidR="00404D58" w:rsidRPr="0037413B" w:rsidRDefault="00404D58" w:rsidP="00404D58">
      <w:pPr>
        <w:rPr>
          <w:rFonts w:cs="Times New Roman"/>
          <w:b/>
          <w:iCs/>
        </w:rPr>
      </w:pPr>
      <w:r w:rsidRPr="0037413B">
        <w:rPr>
          <w:rFonts w:cs="Times New Roman"/>
          <w:b/>
          <w:iCs/>
        </w:rPr>
        <w:t>Capacité financière :</w:t>
      </w:r>
    </w:p>
    <w:p w14:paraId="2D5DED88" w14:textId="77777777" w:rsidR="00404D58" w:rsidRPr="0037413B" w:rsidRDefault="00404D58" w:rsidP="00404D58">
      <w:pPr>
        <w:rPr>
          <w:rFonts w:cs="Times New Roman"/>
        </w:rPr>
      </w:pPr>
      <w:r w:rsidRPr="0037413B">
        <w:rPr>
          <w:rFonts w:cs="Times New Roman"/>
        </w:rPr>
        <w:t>Le Soumissionnaire doit fournir la preuve écrite qu’il satisfait aux exigences ci-après :</w:t>
      </w:r>
    </w:p>
    <w:p w14:paraId="076E5646" w14:textId="77777777" w:rsidR="00404D58" w:rsidRPr="0037413B" w:rsidRDefault="00404D58" w:rsidP="00404D58">
      <w:pPr>
        <w:numPr>
          <w:ilvl w:val="0"/>
          <w:numId w:val="3"/>
        </w:numPr>
        <w:rPr>
          <w:rFonts w:cs="Times New Roman"/>
        </w:rPr>
      </w:pPr>
      <w:proofErr w:type="gramStart"/>
      <w:r w:rsidRPr="0037413B">
        <w:rPr>
          <w:rFonts w:cs="Times New Roman"/>
        </w:rPr>
        <w:t>les</w:t>
      </w:r>
      <w:proofErr w:type="gramEnd"/>
      <w:r w:rsidRPr="0037413B">
        <w:rPr>
          <w:rFonts w:cs="Times New Roman"/>
        </w:rPr>
        <w:t xml:space="preserve"> bilans, extrait de bilan et comptes d’exploitation  des années </w:t>
      </w:r>
      <w:r w:rsidRPr="0037413B">
        <w:rPr>
          <w:rFonts w:cs="Times New Roman"/>
          <w:b/>
          <w:bCs/>
        </w:rPr>
        <w:t>2021 ; 2022 et 2023</w:t>
      </w:r>
      <w:r w:rsidRPr="0037413B">
        <w:rPr>
          <w:rFonts w:cs="Times New Roman"/>
        </w:rPr>
        <w:t xml:space="preserve"> doivent être certifiés par un expert-comptable ou attestés par un comptable agréé inscrit au tableau de l’ordre et sur lesdits bilans doit figurer la mention suivante « bilans conformes aux déclarations souscrites au service des impôts » apposée par le service compétent des impôts ; </w:t>
      </w:r>
    </w:p>
    <w:p w14:paraId="2EF06311" w14:textId="77777777" w:rsidR="00404D58" w:rsidRPr="0037413B" w:rsidRDefault="00404D58" w:rsidP="00404D58">
      <w:pPr>
        <w:numPr>
          <w:ilvl w:val="0"/>
          <w:numId w:val="3"/>
        </w:numPr>
        <w:rPr>
          <w:rFonts w:cs="Times New Roman"/>
        </w:rPr>
      </w:pPr>
      <w:r w:rsidRPr="0037413B">
        <w:rPr>
          <w:rFonts w:cs="Times New Roman"/>
        </w:rPr>
        <w:t xml:space="preserve">Chiffre d’Affaires moyen des années </w:t>
      </w:r>
      <w:r w:rsidRPr="0037413B">
        <w:rPr>
          <w:rFonts w:cs="Times New Roman"/>
          <w:b/>
          <w:bCs/>
        </w:rPr>
        <w:t>2021 ; 2022 et 2023</w:t>
      </w:r>
      <w:r w:rsidRPr="0037413B">
        <w:rPr>
          <w:rFonts w:cs="Times New Roman"/>
        </w:rPr>
        <w:t xml:space="preserve"> doit être au moins égal </w:t>
      </w:r>
      <w:bookmarkStart w:id="0" w:name="_Hlk119496733"/>
      <w:r w:rsidRPr="0037413B">
        <w:rPr>
          <w:rFonts w:cs="Times New Roman"/>
          <w:b/>
        </w:rPr>
        <w:t>au montant de la soumission ;</w:t>
      </w:r>
    </w:p>
    <w:bookmarkEnd w:id="0"/>
    <w:p w14:paraId="57156063" w14:textId="77777777" w:rsidR="00404D58" w:rsidRPr="0037413B" w:rsidRDefault="00404D58" w:rsidP="00404D58">
      <w:pPr>
        <w:numPr>
          <w:ilvl w:val="0"/>
          <w:numId w:val="3"/>
        </w:numPr>
        <w:rPr>
          <w:rFonts w:cs="Times New Roman"/>
        </w:rPr>
      </w:pPr>
      <w:r w:rsidRPr="0037413B">
        <w:rPr>
          <w:rFonts w:cs="Times New Roman"/>
        </w:rPr>
        <w:t>Accès à des financements (toutes sociétés confondues : anciennes et nouvellement créées) tels que des avoirs liquides, lignes de crédit, autres que l’avance de démarrage éventuelle, à hauteur de 54 000 000</w:t>
      </w:r>
      <w:r w:rsidRPr="0037413B">
        <w:rPr>
          <w:rFonts w:cs="Times New Roman"/>
          <w:b/>
          <w:bCs/>
        </w:rPr>
        <w:t xml:space="preserve"> F CFA</w:t>
      </w:r>
      <w:r w:rsidRPr="0037413B">
        <w:rPr>
          <w:rFonts w:cs="Times New Roman"/>
        </w:rPr>
        <w:t>.</w:t>
      </w:r>
    </w:p>
    <w:p w14:paraId="6A1F8E4E" w14:textId="77777777" w:rsidR="00404D58" w:rsidRPr="0037413B" w:rsidRDefault="00404D58" w:rsidP="00404D58">
      <w:pPr>
        <w:rPr>
          <w:rFonts w:cs="Times New Roman"/>
        </w:rPr>
      </w:pPr>
      <w:r w:rsidRPr="0037413B">
        <w:rPr>
          <w:rFonts w:cs="Times New Roman"/>
        </w:rPr>
        <w:t xml:space="preserve">Participation à titre d’entrepreneur, ou de sous-traitant dans au moins </w:t>
      </w:r>
      <w:r w:rsidRPr="0037413B">
        <w:rPr>
          <w:rFonts w:cs="Times New Roman"/>
          <w:b/>
        </w:rPr>
        <w:t xml:space="preserve">deux (02) marchés </w:t>
      </w:r>
      <w:r w:rsidRPr="0037413B">
        <w:rPr>
          <w:rFonts w:cs="Times New Roman"/>
        </w:rPr>
        <w:t xml:space="preserve">au cours des cinq dernières années </w:t>
      </w:r>
      <w:r w:rsidRPr="0037413B">
        <w:rPr>
          <w:rFonts w:cs="Times New Roman"/>
          <w:b/>
        </w:rPr>
        <w:t>(20</w:t>
      </w:r>
      <w:r>
        <w:rPr>
          <w:rFonts w:cs="Times New Roman"/>
          <w:b/>
        </w:rPr>
        <w:t>20</w:t>
      </w:r>
      <w:r w:rsidRPr="0037413B">
        <w:rPr>
          <w:rFonts w:cs="Times New Roman"/>
          <w:b/>
        </w:rPr>
        <w:t>-202</w:t>
      </w:r>
      <w:r>
        <w:rPr>
          <w:rFonts w:cs="Times New Roman"/>
          <w:b/>
        </w:rPr>
        <w:t>4</w:t>
      </w:r>
      <w:r w:rsidRPr="0037413B">
        <w:rPr>
          <w:rFonts w:cs="Times New Roman"/>
          <w:b/>
        </w:rPr>
        <w:t>)</w:t>
      </w:r>
      <w:r w:rsidRPr="0037413B">
        <w:rPr>
          <w:rFonts w:cs="Times New Roman"/>
        </w:rPr>
        <w:t xml:space="preserve"> dont la valeur moyenne atteint au moins </w:t>
      </w:r>
      <w:r w:rsidRPr="0037413B">
        <w:rPr>
          <w:rFonts w:cs="Times New Roman"/>
          <w:b/>
          <w:bCs/>
        </w:rPr>
        <w:t xml:space="preserve">cent millions (100 000 000) F CFA, </w:t>
      </w:r>
      <w:r w:rsidRPr="0037413B">
        <w:rPr>
          <w:rFonts w:cs="Times New Roman"/>
        </w:rPr>
        <w:t>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w:t>
      </w:r>
    </w:p>
    <w:p w14:paraId="57A32618" w14:textId="77777777" w:rsidR="00404D58" w:rsidRPr="0037413B" w:rsidRDefault="00404D58" w:rsidP="00404D58">
      <w:pPr>
        <w:rPr>
          <w:rFonts w:cs="Times New Roman"/>
          <w:b/>
        </w:rPr>
      </w:pPr>
      <w:r w:rsidRPr="0037413B">
        <w:rPr>
          <w:rFonts w:cs="Times New Roman"/>
          <w:b/>
        </w:rPr>
        <w:t xml:space="preserve">Le Soumissionnaire devra joindre à son offre les autres documents suivants : </w:t>
      </w:r>
    </w:p>
    <w:p w14:paraId="28F945CE" w14:textId="77777777" w:rsidR="00404D58" w:rsidRPr="0037413B" w:rsidRDefault="00404D58" w:rsidP="00404D58">
      <w:pPr>
        <w:numPr>
          <w:ilvl w:val="0"/>
          <w:numId w:val="1"/>
        </w:numPr>
        <w:rPr>
          <w:rFonts w:cs="Times New Roman"/>
          <w:lang w:val="fr-CA"/>
        </w:rPr>
      </w:pPr>
      <w:proofErr w:type="gramStart"/>
      <w:r w:rsidRPr="0037413B">
        <w:rPr>
          <w:rFonts w:cs="Times New Roman"/>
          <w:lang w:val="fr-CA"/>
        </w:rPr>
        <w:lastRenderedPageBreak/>
        <w:t>l’original</w:t>
      </w:r>
      <w:proofErr w:type="gramEnd"/>
      <w:r w:rsidRPr="0037413B">
        <w:rPr>
          <w:rFonts w:cs="Times New Roman"/>
          <w:lang w:val="fr-CA"/>
        </w:rPr>
        <w:t xml:space="preserve"> ou la copie certifiée conforme à l’original de l’agrément ou la carte professionnelle ;</w:t>
      </w:r>
    </w:p>
    <w:p w14:paraId="7DF7B691" w14:textId="77777777" w:rsidR="00404D58" w:rsidRPr="0037413B" w:rsidRDefault="00404D58" w:rsidP="00404D58">
      <w:pPr>
        <w:numPr>
          <w:ilvl w:val="0"/>
          <w:numId w:val="1"/>
        </w:numPr>
        <w:rPr>
          <w:rFonts w:cs="Times New Roman"/>
          <w:lang w:val="fr-CA"/>
        </w:rPr>
      </w:pPr>
      <w:proofErr w:type="gramStart"/>
      <w:r w:rsidRPr="0037413B">
        <w:rPr>
          <w:rFonts w:cs="Times New Roman"/>
          <w:lang w:val="fr-CA"/>
        </w:rPr>
        <w:t>l’original</w:t>
      </w:r>
      <w:proofErr w:type="gramEnd"/>
      <w:r w:rsidRPr="0037413B">
        <w:rPr>
          <w:rFonts w:cs="Times New Roman"/>
          <w:lang w:val="fr-CA"/>
        </w:rPr>
        <w:t xml:space="preserve"> ou la copie certifiée conforme à l’original du certificat de non faillite dûment établi par les autorités compétentes datant de moins de 3 mois;</w:t>
      </w:r>
    </w:p>
    <w:p w14:paraId="2323C480" w14:textId="77777777" w:rsidR="00404D58" w:rsidRPr="0037413B" w:rsidRDefault="00404D58" w:rsidP="00404D58">
      <w:pPr>
        <w:numPr>
          <w:ilvl w:val="0"/>
          <w:numId w:val="1"/>
        </w:numPr>
        <w:rPr>
          <w:rFonts w:cs="Times New Roman"/>
          <w:lang w:val="fr-CA"/>
        </w:rPr>
      </w:pPr>
      <w:proofErr w:type="gramStart"/>
      <w:r w:rsidRPr="0037413B">
        <w:rPr>
          <w:rFonts w:cs="Times New Roman"/>
          <w:lang w:val="fr-CA"/>
        </w:rPr>
        <w:t>l’original</w:t>
      </w:r>
      <w:proofErr w:type="gramEnd"/>
      <w:r w:rsidRPr="0037413B">
        <w:rPr>
          <w:rFonts w:cs="Times New Roman"/>
          <w:lang w:val="fr-CA"/>
        </w:rPr>
        <w:t xml:space="preserve"> ou la copie certifiée conforme à l’original du quitus fiscal à jour ;</w:t>
      </w:r>
    </w:p>
    <w:p w14:paraId="2E3624AA" w14:textId="77777777" w:rsidR="00404D58" w:rsidRPr="0037413B" w:rsidRDefault="00404D58" w:rsidP="00404D58">
      <w:pPr>
        <w:numPr>
          <w:ilvl w:val="0"/>
          <w:numId w:val="1"/>
        </w:numPr>
        <w:rPr>
          <w:rFonts w:cs="Times New Roman"/>
          <w:lang w:val="fr-CA"/>
        </w:rPr>
      </w:pPr>
      <w:r w:rsidRPr="0037413B">
        <w:rPr>
          <w:rFonts w:cs="Times New Roman"/>
          <w:lang w:val="fr-CA"/>
        </w:rPr>
        <w:t>Procuration du signataire le cas échéant ;</w:t>
      </w:r>
    </w:p>
    <w:p w14:paraId="6E295024" w14:textId="77777777" w:rsidR="00404D58" w:rsidRPr="0037413B" w:rsidRDefault="00404D58" w:rsidP="00404D58">
      <w:pPr>
        <w:numPr>
          <w:ilvl w:val="0"/>
          <w:numId w:val="1"/>
        </w:numPr>
        <w:rPr>
          <w:rFonts w:cs="Times New Roman"/>
          <w:lang w:val="fr-CA"/>
        </w:rPr>
      </w:pPr>
      <w:proofErr w:type="gramStart"/>
      <w:r w:rsidRPr="0037413B">
        <w:rPr>
          <w:rFonts w:cs="Times New Roman"/>
          <w:lang w:val="fr-CA"/>
        </w:rPr>
        <w:t>l’accord</w:t>
      </w:r>
      <w:proofErr w:type="gramEnd"/>
      <w:r w:rsidRPr="0037413B">
        <w:rPr>
          <w:rFonts w:cs="Times New Roman"/>
          <w:lang w:val="fr-CA"/>
        </w:rPr>
        <w:t xml:space="preserve"> de groupement le cas échéant.</w:t>
      </w:r>
    </w:p>
    <w:p w14:paraId="41F472BC" w14:textId="77777777" w:rsidR="00404D58" w:rsidRPr="0037413B" w:rsidRDefault="00404D58" w:rsidP="00404D58">
      <w:pPr>
        <w:rPr>
          <w:rFonts w:cs="Times New Roman"/>
        </w:rPr>
      </w:pPr>
      <w:r w:rsidRPr="0037413B">
        <w:rPr>
          <w:rFonts w:cs="Times New Roman"/>
        </w:rPr>
        <w:t>Voir les DPAO pour les informations détaillées.</w:t>
      </w:r>
    </w:p>
    <w:p w14:paraId="59E2614D" w14:textId="77777777" w:rsidR="00404D58" w:rsidRPr="00404D58" w:rsidRDefault="00404D58" w:rsidP="00404D58">
      <w:pPr>
        <w:rPr>
          <w:rFonts w:cs="Times New Roman"/>
          <w:sz w:val="20"/>
          <w:szCs w:val="20"/>
        </w:rPr>
      </w:pPr>
    </w:p>
    <w:p w14:paraId="5CBB99FE" w14:textId="77777777" w:rsidR="00404D58" w:rsidRPr="0037413B" w:rsidRDefault="00404D58" w:rsidP="00404D58">
      <w:pPr>
        <w:numPr>
          <w:ilvl w:val="0"/>
          <w:numId w:val="2"/>
        </w:numPr>
        <w:rPr>
          <w:rFonts w:cs="Times New Roman"/>
        </w:rPr>
      </w:pPr>
      <w:r w:rsidRPr="0037413B">
        <w:rPr>
          <w:rFonts w:cs="Times New Roman"/>
        </w:rPr>
        <w:t xml:space="preserve">Les candidats intéressés peuvent consulter gratuitement le dossier d’Appel d’offres complet ou le retirer à titre onéreux contre paiement d’une somme non remboursable de </w:t>
      </w:r>
      <w:r w:rsidRPr="0037413B">
        <w:rPr>
          <w:rFonts w:cs="Times New Roman"/>
          <w:b/>
          <w:bCs/>
        </w:rPr>
        <w:t>cent mille francs (100 000) F CFA</w:t>
      </w:r>
      <w:r w:rsidRPr="0037413B">
        <w:rPr>
          <w:rFonts w:cs="Times New Roman"/>
        </w:rPr>
        <w:t xml:space="preserve"> à l’adresse mentionnée ci-dessus. La méthode de paiement sera en espèce. </w:t>
      </w:r>
    </w:p>
    <w:p w14:paraId="240F8901" w14:textId="77777777" w:rsidR="00404D58" w:rsidRPr="0037413B" w:rsidRDefault="00404D58" w:rsidP="00404D58">
      <w:pPr>
        <w:rPr>
          <w:rFonts w:cs="Times New Roman"/>
        </w:rPr>
      </w:pPr>
    </w:p>
    <w:p w14:paraId="0307BC24" w14:textId="77777777" w:rsidR="00404D58" w:rsidRPr="0037413B" w:rsidRDefault="00404D58" w:rsidP="00404D58">
      <w:pPr>
        <w:numPr>
          <w:ilvl w:val="0"/>
          <w:numId w:val="2"/>
        </w:numPr>
        <w:rPr>
          <w:rFonts w:cs="Times New Roman"/>
        </w:rPr>
      </w:pPr>
      <w:r w:rsidRPr="0037413B">
        <w:rPr>
          <w:rFonts w:cs="Times New Roman"/>
        </w:rPr>
        <w:t xml:space="preserve">Les offres devront être soumises à l’adresse ci-après : </w:t>
      </w:r>
      <w:r w:rsidRPr="0037413B">
        <w:rPr>
          <w:rFonts w:cs="Times New Roman"/>
          <w:b/>
          <w:iCs/>
        </w:rPr>
        <w:t>Direction des Finances et du Matériel du Ministère de l’Entrepreneuriat National de l’Emploi et de la Formation Professionnelle sise à Hamdallaye ACI 2000, TEL. : 00 223 20 23 04 20.</w:t>
      </w:r>
      <w:r w:rsidRPr="0037413B">
        <w:rPr>
          <w:rFonts w:cs="Times New Roman"/>
        </w:rPr>
        <w:t xml:space="preserve"> </w:t>
      </w:r>
    </w:p>
    <w:p w14:paraId="5AC95D36" w14:textId="77777777" w:rsidR="00404D58" w:rsidRPr="00404D58" w:rsidRDefault="00404D58" w:rsidP="00404D58">
      <w:pPr>
        <w:rPr>
          <w:rFonts w:cs="Times New Roman"/>
          <w:sz w:val="20"/>
          <w:szCs w:val="20"/>
        </w:rPr>
      </w:pPr>
    </w:p>
    <w:p w14:paraId="7A09B9EE" w14:textId="77777777" w:rsidR="00404D58" w:rsidRPr="00936400" w:rsidRDefault="00404D58" w:rsidP="00404D58">
      <w:pPr>
        <w:numPr>
          <w:ilvl w:val="0"/>
          <w:numId w:val="2"/>
        </w:numPr>
        <w:rPr>
          <w:rFonts w:cs="Times New Roman"/>
        </w:rPr>
      </w:pPr>
      <w:r w:rsidRPr="0037413B">
        <w:rPr>
          <w:rFonts w:cs="Times New Roman"/>
        </w:rPr>
        <w:t xml:space="preserve">Les offres doivent comprendre une garantie de soumission, d’un montant de </w:t>
      </w:r>
      <w:r w:rsidRPr="0037413B">
        <w:rPr>
          <w:rFonts w:cs="Times New Roman"/>
          <w:b/>
          <w:bCs/>
        </w:rPr>
        <w:t>5 000 000 F CFA.</w:t>
      </w:r>
    </w:p>
    <w:p w14:paraId="622EE415" w14:textId="77777777" w:rsidR="00404D58" w:rsidRPr="00404D58" w:rsidRDefault="00404D58" w:rsidP="00404D58">
      <w:pPr>
        <w:pStyle w:val="Paragraphedeliste"/>
        <w:rPr>
          <w:sz w:val="20"/>
          <w:szCs w:val="20"/>
        </w:rPr>
      </w:pPr>
    </w:p>
    <w:p w14:paraId="3BF0E6F3" w14:textId="77777777" w:rsidR="00404D58" w:rsidRPr="00901575" w:rsidRDefault="00404D58" w:rsidP="00404D58">
      <w:pPr>
        <w:numPr>
          <w:ilvl w:val="0"/>
          <w:numId w:val="2"/>
        </w:numPr>
        <w:rPr>
          <w:rFonts w:cs="Times New Roman"/>
        </w:rPr>
      </w:pPr>
      <w:r w:rsidRPr="00901575">
        <w:rPr>
          <w:rFonts w:cs="Times New Roman"/>
        </w:rPr>
        <w:t>La garantie de soumission sera libellée en FCFA ou une monnaie librement convertible pour le montant spécifié aux DPAO et devra :</w:t>
      </w:r>
    </w:p>
    <w:p w14:paraId="23D8D2A5" w14:textId="77777777" w:rsidR="00404D58" w:rsidRPr="00901575" w:rsidRDefault="00404D58" w:rsidP="00404D58">
      <w:pPr>
        <w:numPr>
          <w:ilvl w:val="0"/>
          <w:numId w:val="4"/>
        </w:numPr>
        <w:rPr>
          <w:rFonts w:cs="Times New Roman"/>
        </w:rPr>
      </w:pPr>
      <w:proofErr w:type="gramStart"/>
      <w:r w:rsidRPr="00901575">
        <w:rPr>
          <w:rFonts w:cs="Times New Roman"/>
        </w:rPr>
        <w:t>au</w:t>
      </w:r>
      <w:proofErr w:type="gramEnd"/>
      <w:r w:rsidRPr="00901575">
        <w:rPr>
          <w:rFonts w:cs="Times New Roman"/>
        </w:rPr>
        <w:t xml:space="preserve"> choix du Candidat, être sous l’une des formes ci-après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 ;</w:t>
      </w:r>
    </w:p>
    <w:p w14:paraId="5015B9AA" w14:textId="77777777" w:rsidR="00404D58" w:rsidRPr="00901575" w:rsidRDefault="00404D58" w:rsidP="00404D58">
      <w:pPr>
        <w:numPr>
          <w:ilvl w:val="0"/>
          <w:numId w:val="4"/>
        </w:numPr>
        <w:tabs>
          <w:tab w:val="num" w:pos="360"/>
        </w:tabs>
        <w:rPr>
          <w:rFonts w:cs="Times New Roman"/>
        </w:rPr>
      </w:pPr>
      <w:proofErr w:type="gramStart"/>
      <w:r w:rsidRPr="00901575">
        <w:rPr>
          <w:rFonts w:cs="Times New Roman"/>
        </w:rPr>
        <w:t>provenir</w:t>
      </w:r>
      <w:proofErr w:type="gramEnd"/>
      <w:r w:rsidRPr="00901575">
        <w:rPr>
          <w:rFonts w:cs="Times New Roman"/>
        </w:rPr>
        <w:t xml:space="preserve"> d’une institution de bonne réputation au choix du Candidat. Si l’institution d’émission de la garantie de soumission est étrangère, elle devra avoir un correspondant local agréé par le Ministre chargé des Finances permettant d’appeler la garantie ;</w:t>
      </w:r>
    </w:p>
    <w:p w14:paraId="6C8091A9" w14:textId="77777777" w:rsidR="00404D58" w:rsidRPr="00901575" w:rsidRDefault="00404D58" w:rsidP="00404D58">
      <w:pPr>
        <w:numPr>
          <w:ilvl w:val="0"/>
          <w:numId w:val="4"/>
        </w:numPr>
        <w:tabs>
          <w:tab w:val="num" w:pos="360"/>
        </w:tabs>
        <w:rPr>
          <w:rFonts w:cs="Times New Roman"/>
        </w:rPr>
      </w:pPr>
      <w:proofErr w:type="gramStart"/>
      <w:r w:rsidRPr="00901575">
        <w:rPr>
          <w:rFonts w:cs="Times New Roman"/>
        </w:rPr>
        <w:t>être</w:t>
      </w:r>
      <w:proofErr w:type="gramEnd"/>
      <w:r w:rsidRPr="00901575">
        <w:rPr>
          <w:rFonts w:cs="Times New Roman"/>
        </w:rPr>
        <w:t xml:space="preserve"> conforme au formulaire de garantie de soumission figurant à la Section III ; </w:t>
      </w:r>
    </w:p>
    <w:p w14:paraId="1B60F79C" w14:textId="77777777" w:rsidR="00404D58" w:rsidRPr="00901575" w:rsidRDefault="00404D58" w:rsidP="00404D58">
      <w:pPr>
        <w:numPr>
          <w:ilvl w:val="0"/>
          <w:numId w:val="4"/>
        </w:numPr>
        <w:tabs>
          <w:tab w:val="num" w:pos="360"/>
        </w:tabs>
        <w:rPr>
          <w:rFonts w:cs="Times New Roman"/>
        </w:rPr>
      </w:pPr>
      <w:proofErr w:type="gramStart"/>
      <w:r w:rsidRPr="00901575">
        <w:rPr>
          <w:rFonts w:cs="Times New Roman"/>
        </w:rPr>
        <w:t>être</w:t>
      </w:r>
      <w:proofErr w:type="gramEnd"/>
      <w:r w:rsidRPr="00901575">
        <w:rPr>
          <w:rFonts w:cs="Times New Roman"/>
        </w:rPr>
        <w:t xml:space="preserve"> payable immédiatement, sur demande écrite formulée par l’Autorité contractante dans le cas où les conditions énumérées à l’alinéa 20.5 des IC sont invoquées ;</w:t>
      </w:r>
    </w:p>
    <w:p w14:paraId="7207CED8" w14:textId="77777777" w:rsidR="00404D58" w:rsidRPr="00901575" w:rsidRDefault="00404D58" w:rsidP="00404D58">
      <w:pPr>
        <w:numPr>
          <w:ilvl w:val="0"/>
          <w:numId w:val="4"/>
        </w:numPr>
        <w:tabs>
          <w:tab w:val="num" w:pos="360"/>
        </w:tabs>
        <w:rPr>
          <w:rFonts w:cs="Times New Roman"/>
        </w:rPr>
      </w:pPr>
      <w:proofErr w:type="gramStart"/>
      <w:r w:rsidRPr="00901575">
        <w:rPr>
          <w:rFonts w:cs="Times New Roman"/>
        </w:rPr>
        <w:t>être</w:t>
      </w:r>
      <w:proofErr w:type="gramEnd"/>
      <w:r w:rsidRPr="00901575">
        <w:rPr>
          <w:rFonts w:cs="Times New Roman"/>
        </w:rPr>
        <w:t xml:space="preserve"> soumise sous la forme d’un document original ; une copie ne sera pas admise;</w:t>
      </w:r>
    </w:p>
    <w:p w14:paraId="309736FF" w14:textId="77777777" w:rsidR="00404D58" w:rsidRPr="00901575" w:rsidRDefault="00404D58" w:rsidP="00404D58">
      <w:pPr>
        <w:numPr>
          <w:ilvl w:val="0"/>
          <w:numId w:val="4"/>
        </w:numPr>
        <w:tabs>
          <w:tab w:val="num" w:pos="360"/>
        </w:tabs>
        <w:rPr>
          <w:rFonts w:cs="Times New Roman"/>
        </w:rPr>
      </w:pPr>
      <w:proofErr w:type="gramStart"/>
      <w:r w:rsidRPr="00901575">
        <w:rPr>
          <w:rFonts w:cs="Times New Roman"/>
        </w:rPr>
        <w:t>demeurer</w:t>
      </w:r>
      <w:proofErr w:type="gramEnd"/>
      <w:r w:rsidRPr="00901575">
        <w:rPr>
          <w:rFonts w:cs="Times New Roman"/>
        </w:rPr>
        <w:t xml:space="preserve"> valide pendant trente jours 30 après l’expiration de la durée de validité de l’offre, y compris si la durée de validité de l’offre est prorogée selon les dispositions de l’alinéa 19.2 des IC.</w:t>
      </w:r>
    </w:p>
    <w:p w14:paraId="3425984C" w14:textId="77777777" w:rsidR="00404D58" w:rsidRPr="0037413B" w:rsidRDefault="00404D58" w:rsidP="00404D58">
      <w:pPr>
        <w:numPr>
          <w:ilvl w:val="0"/>
          <w:numId w:val="2"/>
        </w:numPr>
        <w:rPr>
          <w:rFonts w:cs="Times New Roman"/>
        </w:rPr>
      </w:pPr>
      <w:r w:rsidRPr="0037413B">
        <w:rPr>
          <w:rFonts w:cs="Times New Roman"/>
        </w:rPr>
        <w:t>Les Soumissionnaires resteront engagés par leur offre pendant une période de quatre-vingt-dix jours (90) à compter de la date limite du dépôt des offres comme spécifiées au point 19.1 des IC et au DPAO.</w:t>
      </w:r>
    </w:p>
    <w:p w14:paraId="21507646" w14:textId="77777777" w:rsidR="00404D58" w:rsidRPr="0037413B" w:rsidRDefault="00404D58" w:rsidP="00404D58">
      <w:pPr>
        <w:rPr>
          <w:rFonts w:cs="Times New Roman"/>
        </w:rPr>
      </w:pPr>
    </w:p>
    <w:p w14:paraId="26D62D07" w14:textId="37EF57D8" w:rsidR="00404D58" w:rsidRPr="0037413B" w:rsidRDefault="00404D58" w:rsidP="00404D58">
      <w:pPr>
        <w:numPr>
          <w:ilvl w:val="0"/>
          <w:numId w:val="2"/>
        </w:numPr>
        <w:rPr>
          <w:rFonts w:cs="Times New Roman"/>
        </w:rPr>
      </w:pPr>
      <w:r w:rsidRPr="0037413B">
        <w:rPr>
          <w:rFonts w:cs="Times New Roman"/>
        </w:rPr>
        <w:t xml:space="preserve">Les offres seront ouvertes en présence des représentants des soumissionnaires qui souhaitent assister à l’ouverture des plis le </w:t>
      </w:r>
      <w:r w:rsidR="00E72D03" w:rsidRPr="00E72D03">
        <w:rPr>
          <w:rFonts w:cs="Times New Roman"/>
          <w:b/>
          <w:bCs/>
        </w:rPr>
        <w:t xml:space="preserve">07 avril </w:t>
      </w:r>
      <w:r w:rsidRPr="00E72D03">
        <w:rPr>
          <w:rFonts w:cs="Times New Roman"/>
          <w:b/>
          <w:bCs/>
        </w:rPr>
        <w:t>2025</w:t>
      </w:r>
      <w:r w:rsidRPr="0037413B">
        <w:rPr>
          <w:rFonts w:cs="Times New Roman"/>
          <w:b/>
          <w:bCs/>
        </w:rPr>
        <w:t>, à 10 heures</w:t>
      </w:r>
      <w:r w:rsidR="00E72D03">
        <w:rPr>
          <w:rFonts w:cs="Times New Roman"/>
          <w:b/>
          <w:bCs/>
        </w:rPr>
        <w:t xml:space="preserve"> 30 mn</w:t>
      </w:r>
      <w:r w:rsidRPr="0037413B">
        <w:rPr>
          <w:rFonts w:cs="Times New Roman"/>
        </w:rPr>
        <w:t xml:space="preserve"> à l’adresse suivante : </w:t>
      </w:r>
      <w:r w:rsidRPr="0037413B">
        <w:rPr>
          <w:rFonts w:cs="Times New Roman"/>
          <w:b/>
          <w:iCs/>
        </w:rPr>
        <w:t>Direction des Finances et du Matériel du Ministère de l’Entrepreneuriat National de l’Emploi et de la Formation Professionnelle sise à Hamdallaye ACI 2000, TEL. : 00 223 20 23 04 20.</w:t>
      </w:r>
    </w:p>
    <w:p w14:paraId="018A37F8" w14:textId="77777777" w:rsidR="00404D58" w:rsidRPr="0037413B" w:rsidRDefault="00404D58" w:rsidP="00404D58">
      <w:pPr>
        <w:rPr>
          <w:rFonts w:cs="Times New Roman"/>
        </w:rPr>
      </w:pPr>
    </w:p>
    <w:p w14:paraId="2E91D114" w14:textId="77777777" w:rsidR="00404D58" w:rsidRPr="0037413B" w:rsidRDefault="00404D58" w:rsidP="00404D58">
      <w:pPr>
        <w:rPr>
          <w:rFonts w:cs="Times New Roman"/>
        </w:rPr>
      </w:pPr>
    </w:p>
    <w:p w14:paraId="54B47EA9" w14:textId="77777777" w:rsidR="00E3034D" w:rsidRDefault="00E3034D"/>
    <w:sectPr w:rsidR="00E30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8C6"/>
    <w:multiLevelType w:val="hybridMultilevel"/>
    <w:tmpl w:val="2C46FB46"/>
    <w:lvl w:ilvl="0" w:tplc="4EF4728E">
      <w:start w:val="1"/>
      <w:numFmt w:val="lowerLetter"/>
      <w:lvlText w:val="%1."/>
      <w:lvlJc w:val="left"/>
      <w:pPr>
        <w:ind w:left="1080" w:hanging="360"/>
      </w:pPr>
      <w:rPr>
        <w:rFonts w:hint="default"/>
      </w:rPr>
    </w:lvl>
    <w:lvl w:ilvl="1" w:tplc="340C0019" w:tentative="1">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1" w15:restartNumberingAfterBreak="0">
    <w:nsid w:val="0AEF1EFD"/>
    <w:multiLevelType w:val="hybridMultilevel"/>
    <w:tmpl w:val="EE5CC084"/>
    <w:lvl w:ilvl="0" w:tplc="DD48CBB6">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7F47288"/>
    <w:multiLevelType w:val="hybridMultilevel"/>
    <w:tmpl w:val="246A7FF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 w15:restartNumberingAfterBreak="0">
    <w:nsid w:val="3E8D708D"/>
    <w:multiLevelType w:val="hybridMultilevel"/>
    <w:tmpl w:val="E8F81A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5524892">
    <w:abstractNumId w:val="1"/>
  </w:num>
  <w:num w:numId="2" w16cid:durableId="2021200267">
    <w:abstractNumId w:val="3"/>
  </w:num>
  <w:num w:numId="3" w16cid:durableId="810446629">
    <w:abstractNumId w:val="2"/>
  </w:num>
  <w:num w:numId="4" w16cid:durableId="103023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58"/>
    <w:rsid w:val="00396C6A"/>
    <w:rsid w:val="00404D58"/>
    <w:rsid w:val="00791785"/>
    <w:rsid w:val="00901575"/>
    <w:rsid w:val="00D67A52"/>
    <w:rsid w:val="00E3034D"/>
    <w:rsid w:val="00E72D03"/>
    <w:rsid w:val="00FD0AAF"/>
    <w:rsid w:val="00FE723A"/>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75EB"/>
  <w15:chartTrackingRefBased/>
  <w15:docId w15:val="{0E788F03-F7C9-4F22-BABA-E6E80C63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D5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4"/>
      <w:szCs w:val="24"/>
      <w:lang w:val="fr-FR" w:eastAsia="fr-FR"/>
      <w14:ligatures w14:val="none"/>
    </w:rPr>
  </w:style>
  <w:style w:type="paragraph" w:styleId="Titre1">
    <w:name w:val="heading 1"/>
    <w:basedOn w:val="Normal"/>
    <w:next w:val="Normal"/>
    <w:link w:val="Titre1Car"/>
    <w:uiPriority w:val="9"/>
    <w:qFormat/>
    <w:rsid w:val="00404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4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4D5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4D5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4D5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4D5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4D5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4D5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4D5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4D5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4D5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4D5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4D5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4D5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4D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4D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4D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4D58"/>
    <w:rPr>
      <w:rFonts w:eastAsiaTheme="majorEastAsia" w:cstheme="majorBidi"/>
      <w:color w:val="272727" w:themeColor="text1" w:themeTint="D8"/>
    </w:rPr>
  </w:style>
  <w:style w:type="paragraph" w:styleId="Titre">
    <w:name w:val="Title"/>
    <w:basedOn w:val="Normal"/>
    <w:next w:val="Normal"/>
    <w:link w:val="TitreCar"/>
    <w:uiPriority w:val="10"/>
    <w:qFormat/>
    <w:rsid w:val="00404D5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4D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4D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4D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4D58"/>
    <w:pPr>
      <w:spacing w:before="160"/>
      <w:jc w:val="center"/>
    </w:pPr>
    <w:rPr>
      <w:i/>
      <w:iCs/>
      <w:color w:val="404040" w:themeColor="text1" w:themeTint="BF"/>
    </w:rPr>
  </w:style>
  <w:style w:type="character" w:customStyle="1" w:styleId="CitationCar">
    <w:name w:val="Citation Car"/>
    <w:basedOn w:val="Policepardfaut"/>
    <w:link w:val="Citation"/>
    <w:uiPriority w:val="29"/>
    <w:rsid w:val="00404D58"/>
    <w:rPr>
      <w:i/>
      <w:iCs/>
      <w:color w:val="404040" w:themeColor="text1" w:themeTint="BF"/>
    </w:rPr>
  </w:style>
  <w:style w:type="paragraph" w:styleId="Paragraphedeliste">
    <w:name w:val="List Paragraph"/>
    <w:aliases w:val="Bullets,References,Paragraphe de liste1,Liste 1,List Paragraph nowy,Numbered List Paragraph,List Paragraph (numbered (a)),Medium Grid 1 - Accent 21,Paragraphe de liste2,Puces,- List tir,liste 1,puce 1,Bullet 1,Premier"/>
    <w:basedOn w:val="Normal"/>
    <w:link w:val="ParagraphedelisteCar"/>
    <w:uiPriority w:val="34"/>
    <w:qFormat/>
    <w:rsid w:val="00404D58"/>
    <w:pPr>
      <w:ind w:left="720"/>
      <w:contextualSpacing/>
    </w:pPr>
  </w:style>
  <w:style w:type="character" w:styleId="Accentuationintense">
    <w:name w:val="Intense Emphasis"/>
    <w:basedOn w:val="Policepardfaut"/>
    <w:uiPriority w:val="21"/>
    <w:qFormat/>
    <w:rsid w:val="00404D58"/>
    <w:rPr>
      <w:i/>
      <w:iCs/>
      <w:color w:val="2F5496" w:themeColor="accent1" w:themeShade="BF"/>
    </w:rPr>
  </w:style>
  <w:style w:type="paragraph" w:styleId="Citationintense">
    <w:name w:val="Intense Quote"/>
    <w:basedOn w:val="Normal"/>
    <w:next w:val="Normal"/>
    <w:link w:val="CitationintenseCar"/>
    <w:uiPriority w:val="30"/>
    <w:qFormat/>
    <w:rsid w:val="00404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4D58"/>
    <w:rPr>
      <w:i/>
      <w:iCs/>
      <w:color w:val="2F5496" w:themeColor="accent1" w:themeShade="BF"/>
    </w:rPr>
  </w:style>
  <w:style w:type="character" w:styleId="Rfrenceintense">
    <w:name w:val="Intense Reference"/>
    <w:basedOn w:val="Policepardfaut"/>
    <w:uiPriority w:val="32"/>
    <w:qFormat/>
    <w:rsid w:val="00404D58"/>
    <w:rPr>
      <w:b/>
      <w:bCs/>
      <w:smallCaps/>
      <w:color w:val="2F5496" w:themeColor="accent1" w:themeShade="BF"/>
      <w:spacing w:val="5"/>
    </w:rPr>
  </w:style>
  <w:style w:type="paragraph" w:customStyle="1" w:styleId="BankNormal">
    <w:name w:val="BankNormal"/>
    <w:basedOn w:val="Normal"/>
    <w:rsid w:val="00404D58"/>
    <w:pPr>
      <w:suppressAutoHyphens w:val="0"/>
      <w:spacing w:after="240"/>
      <w:jc w:val="left"/>
    </w:pPr>
    <w:rPr>
      <w:lang w:val="en-US"/>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Puces Car,- List tir Car"/>
    <w:link w:val="Paragraphedeliste"/>
    <w:uiPriority w:val="34"/>
    <w:rsid w:val="0040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908</Words>
  <Characters>4995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2025-03-06T11:47:00Z</dcterms:created>
  <dcterms:modified xsi:type="dcterms:W3CDTF">2025-03-06T11:58:00Z</dcterms:modified>
</cp:coreProperties>
</file>