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1BB1" w14:textId="77777777" w:rsidR="0082524F" w:rsidRDefault="0082524F" w:rsidP="0082524F">
      <w:pPr>
        <w:jc w:val="center"/>
        <w:rPr>
          <w:rFonts w:ascii="Times New Roman" w:hAnsi="Times New Roman"/>
          <w:b/>
          <w:sz w:val="36"/>
          <w:szCs w:val="36"/>
        </w:rPr>
      </w:pPr>
      <w:r>
        <w:rPr>
          <w:rFonts w:ascii="Times New Roman" w:hAnsi="Times New Roman"/>
          <w:b/>
          <w:sz w:val="36"/>
          <w:szCs w:val="36"/>
        </w:rPr>
        <w:t>Avis d’Appel d’Offres Ouvert (AAOO)</w:t>
      </w:r>
    </w:p>
    <w:p w14:paraId="19F0215B" w14:textId="77777777" w:rsidR="0082524F" w:rsidRDefault="0082524F" w:rsidP="0082524F">
      <w:pPr>
        <w:jc w:val="center"/>
        <w:rPr>
          <w:rFonts w:ascii="Times New Roman" w:hAnsi="Times New Roman"/>
          <w:b/>
          <w:sz w:val="24"/>
          <w:szCs w:val="24"/>
        </w:rPr>
      </w:pPr>
      <w:r>
        <w:rPr>
          <w:rFonts w:ascii="Times New Roman" w:hAnsi="Times New Roman"/>
          <w:b/>
          <w:sz w:val="24"/>
          <w:szCs w:val="24"/>
        </w:rPr>
        <w:t>Ministère de l’Economie et des Finances</w:t>
      </w:r>
    </w:p>
    <w:p w14:paraId="2C3C618C" w14:textId="77777777" w:rsidR="0082524F" w:rsidRDefault="0082524F" w:rsidP="0082524F">
      <w:pPr>
        <w:jc w:val="center"/>
      </w:pPr>
      <w:r>
        <w:rPr>
          <w:rFonts w:ascii="Times New Roman" w:hAnsi="Times New Roman"/>
          <w:b/>
          <w:sz w:val="24"/>
          <w:szCs w:val="24"/>
        </w:rPr>
        <w:t xml:space="preserve">AAO N° </w:t>
      </w:r>
      <w:r w:rsidRPr="0096643E">
        <w:rPr>
          <w:rFonts w:ascii="Times New Roman" w:hAnsi="Times New Roman"/>
          <w:b/>
          <w:sz w:val="24"/>
          <w:szCs w:val="24"/>
        </w:rPr>
        <w:t>00</w:t>
      </w:r>
      <w:r>
        <w:rPr>
          <w:rFonts w:ascii="Times New Roman" w:hAnsi="Times New Roman"/>
          <w:b/>
          <w:sz w:val="24"/>
          <w:szCs w:val="24"/>
        </w:rPr>
        <w:t>8/MEF-DFM-2026</w:t>
      </w:r>
    </w:p>
    <w:p w14:paraId="23770842" w14:textId="77777777" w:rsidR="0082524F" w:rsidRDefault="0082524F" w:rsidP="0082524F">
      <w:r>
        <w:rPr>
          <w:rFonts w:ascii="Times New Roman" w:hAnsi="Times New Roman"/>
          <w:sz w:val="24"/>
          <w:szCs w:val="24"/>
        </w:rPr>
        <w:t xml:space="preserve"> Cet Avis d’Appel d’Offres fait suite à l’Avis Général de Passation des Marchés paru dans </w:t>
      </w:r>
      <w:r w:rsidRPr="00302984">
        <w:rPr>
          <w:rFonts w:ascii="Times New Roman" w:hAnsi="Times New Roman"/>
          <w:b/>
          <w:sz w:val="24"/>
          <w:szCs w:val="24"/>
        </w:rPr>
        <w:t>l’ESSOR n°20493 du 16 octobre 2025</w:t>
      </w:r>
      <w:r>
        <w:rPr>
          <w:rFonts w:ascii="Times New Roman" w:hAnsi="Times New Roman"/>
          <w:b/>
          <w:sz w:val="24"/>
          <w:szCs w:val="24"/>
        </w:rPr>
        <w:t>.</w:t>
      </w:r>
    </w:p>
    <w:p w14:paraId="2884A1FF" w14:textId="4A0DBA30" w:rsidR="0082524F" w:rsidRDefault="0082524F" w:rsidP="0082524F">
      <w:pPr>
        <w:pStyle w:val="Paragraphedeliste"/>
        <w:numPr>
          <w:ilvl w:val="0"/>
          <w:numId w:val="2"/>
        </w:numPr>
        <w:contextualSpacing w:val="0"/>
        <w:jc w:val="both"/>
      </w:pPr>
      <w:r>
        <w:rPr>
          <w:rFonts w:ascii="Times New Roman" w:hAnsi="Times New Roman"/>
          <w:sz w:val="24"/>
          <w:szCs w:val="24"/>
        </w:rPr>
        <w:t xml:space="preserve">Le Ministère de l’Economie et des Finances dispose de fonds sur le budget de l’État, et à l’intention d’utiliser une partie de ces fonds pour effectuer des paiements au titre du Marché relatif à la </w:t>
      </w:r>
      <w:r>
        <w:rPr>
          <w:rFonts w:ascii="Times New Roman" w:hAnsi="Times New Roman"/>
          <w:b/>
          <w:sz w:val="24"/>
          <w:szCs w:val="24"/>
        </w:rPr>
        <w:t>fourniture de</w:t>
      </w:r>
      <w:r>
        <w:rPr>
          <w:rFonts w:ascii="Times New Roman" w:hAnsi="Times New Roman"/>
          <w:sz w:val="24"/>
          <w:szCs w:val="24"/>
        </w:rPr>
        <w:t xml:space="preserve"> </w:t>
      </w:r>
      <w:r>
        <w:rPr>
          <w:rFonts w:ascii="Times New Roman" w:hAnsi="Times New Roman"/>
          <w:b/>
          <w:sz w:val="24"/>
          <w:szCs w:val="24"/>
        </w:rPr>
        <w:t>quittances et d’imprimés sécurisés du trésor 2027 pour le compte de la Direction Générale du Trésor et de la Comptabilité Publique (DGTCP)</w:t>
      </w:r>
      <w:r>
        <w:rPr>
          <w:rFonts w:ascii="Times New Roman" w:hAnsi="Times New Roman"/>
          <w:b/>
          <w:sz w:val="24"/>
          <w:szCs w:val="24"/>
        </w:rPr>
        <w:t>, en lot unique</w:t>
      </w:r>
      <w:r>
        <w:rPr>
          <w:rFonts w:ascii="Times New Roman" w:hAnsi="Times New Roman"/>
          <w:b/>
          <w:sz w:val="24"/>
          <w:szCs w:val="24"/>
        </w:rPr>
        <w:t>.</w:t>
      </w:r>
    </w:p>
    <w:p w14:paraId="03477B33" w14:textId="2ED7DB1D" w:rsidR="0082524F" w:rsidRDefault="0082524F" w:rsidP="0082524F">
      <w:pPr>
        <w:pStyle w:val="Paragraphedeliste"/>
        <w:numPr>
          <w:ilvl w:val="0"/>
          <w:numId w:val="2"/>
        </w:numPr>
        <w:contextualSpacing w:val="0"/>
        <w:jc w:val="both"/>
      </w:pPr>
      <w:r>
        <w:rPr>
          <w:rFonts w:ascii="Times New Roman" w:hAnsi="Times New Roman"/>
          <w:sz w:val="24"/>
          <w:szCs w:val="24"/>
        </w:rPr>
        <w:t xml:space="preserve">Le Directeur des Finances et du Matériel du Ministère de l’Economie et des Finances sollicite des offres fermées de la part des candidats éligibles et répondant aux qualifications requises pour la livraison des fournitures suivantes : </w:t>
      </w:r>
      <w:r>
        <w:rPr>
          <w:rFonts w:ascii="Times New Roman" w:hAnsi="Times New Roman"/>
          <w:b/>
          <w:sz w:val="24"/>
          <w:szCs w:val="24"/>
        </w:rPr>
        <w:t>fourniture de</w:t>
      </w:r>
      <w:r>
        <w:rPr>
          <w:rFonts w:ascii="Times New Roman" w:hAnsi="Times New Roman"/>
          <w:sz w:val="24"/>
          <w:szCs w:val="24"/>
        </w:rPr>
        <w:t xml:space="preserve"> </w:t>
      </w:r>
      <w:r>
        <w:rPr>
          <w:rFonts w:ascii="Times New Roman" w:hAnsi="Times New Roman"/>
          <w:b/>
          <w:sz w:val="24"/>
          <w:szCs w:val="24"/>
        </w:rPr>
        <w:t xml:space="preserve">quittances et d’imprimés sécurisés du trésor 2027 pour le compte de la Direction Générale du Trésor et de la Comptabilité </w:t>
      </w:r>
      <w:r>
        <w:rPr>
          <w:rFonts w:ascii="Times New Roman" w:hAnsi="Times New Roman"/>
          <w:b/>
          <w:sz w:val="24"/>
          <w:szCs w:val="24"/>
        </w:rPr>
        <w:t>Publique (</w:t>
      </w:r>
      <w:r>
        <w:rPr>
          <w:rFonts w:ascii="Times New Roman" w:hAnsi="Times New Roman"/>
          <w:b/>
          <w:sz w:val="24"/>
          <w:szCs w:val="24"/>
        </w:rPr>
        <w:t>DGTCP)</w:t>
      </w:r>
      <w:r>
        <w:rPr>
          <w:rFonts w:ascii="Times New Roman" w:hAnsi="Times New Roman"/>
          <w:b/>
          <w:sz w:val="24"/>
          <w:szCs w:val="24"/>
        </w:rPr>
        <w:t>,</w:t>
      </w:r>
      <w:r w:rsidRPr="0082524F">
        <w:rPr>
          <w:rFonts w:ascii="Times New Roman" w:hAnsi="Times New Roman"/>
          <w:b/>
          <w:sz w:val="24"/>
          <w:szCs w:val="24"/>
        </w:rPr>
        <w:t xml:space="preserve"> </w:t>
      </w:r>
      <w:r>
        <w:rPr>
          <w:rFonts w:ascii="Times New Roman" w:hAnsi="Times New Roman"/>
          <w:b/>
          <w:sz w:val="24"/>
          <w:szCs w:val="24"/>
        </w:rPr>
        <w:t>en lot unique.</w:t>
      </w:r>
    </w:p>
    <w:p w14:paraId="684DF28C" w14:textId="77777777" w:rsidR="0082524F" w:rsidRDefault="0082524F" w:rsidP="0082524F">
      <w:pPr>
        <w:pStyle w:val="Paragraphedeliste"/>
        <w:numPr>
          <w:ilvl w:val="0"/>
          <w:numId w:val="2"/>
        </w:numPr>
        <w:contextualSpacing w:val="0"/>
        <w:jc w:val="both"/>
        <w:rPr>
          <w:rFonts w:ascii="Times New Roman" w:hAnsi="Times New Roman"/>
          <w:sz w:val="24"/>
          <w:szCs w:val="24"/>
        </w:rPr>
      </w:pPr>
      <w:r>
        <w:rPr>
          <w:rFonts w:ascii="Times New Roman" w:hAnsi="Times New Roman"/>
          <w:sz w:val="24"/>
          <w:szCs w:val="24"/>
        </w:rPr>
        <w:t xml:space="preserve">La passation du Marché sera conduite par Appel d’offres ouvert tel que défini dans le </w:t>
      </w:r>
    </w:p>
    <w:p w14:paraId="115EC659" w14:textId="77777777" w:rsidR="0082524F" w:rsidRDefault="0082524F" w:rsidP="0082524F">
      <w:pPr>
        <w:jc w:val="both"/>
        <w:rPr>
          <w:rFonts w:ascii="Times New Roman" w:hAnsi="Times New Roman"/>
          <w:sz w:val="24"/>
          <w:szCs w:val="24"/>
        </w:rPr>
      </w:pPr>
      <w:r>
        <w:rPr>
          <w:rFonts w:ascii="Times New Roman" w:hAnsi="Times New Roman"/>
          <w:sz w:val="24"/>
          <w:szCs w:val="24"/>
        </w:rPr>
        <w:t>Code des Marchés publics à l’article 50 et ouvert à tous les candidats éligibles.</w:t>
      </w:r>
    </w:p>
    <w:p w14:paraId="7BEBF482" w14:textId="77777777" w:rsidR="0082524F" w:rsidRDefault="0082524F" w:rsidP="0082524F">
      <w:pPr>
        <w:pStyle w:val="Paragraphedeliste"/>
        <w:numPr>
          <w:ilvl w:val="0"/>
          <w:numId w:val="2"/>
        </w:numPr>
        <w:contextualSpacing w:val="0"/>
        <w:jc w:val="both"/>
        <w:rPr>
          <w:rFonts w:ascii="Times New Roman" w:hAnsi="Times New Roman"/>
          <w:sz w:val="24"/>
          <w:szCs w:val="24"/>
        </w:rPr>
      </w:pPr>
      <w:r>
        <w:rPr>
          <w:rFonts w:ascii="Times New Roman" w:hAnsi="Times New Roman"/>
          <w:sz w:val="24"/>
          <w:szCs w:val="24"/>
        </w:rPr>
        <w:t xml:space="preserve">Les candidats intéressés peuvent obtenir des informations auprès de la Direction des </w:t>
      </w:r>
    </w:p>
    <w:p w14:paraId="26101790" w14:textId="77777777" w:rsidR="0082524F" w:rsidRDefault="0082524F" w:rsidP="0082524F">
      <w:pPr>
        <w:spacing w:after="200"/>
        <w:jc w:val="both"/>
      </w:pPr>
      <w:r>
        <w:rPr>
          <w:rFonts w:ascii="Times New Roman" w:hAnsi="Times New Roman"/>
          <w:sz w:val="24"/>
          <w:szCs w:val="24"/>
        </w:rPr>
        <w:t xml:space="preserve">Finances et Matériel du Ministère de l’Economie et des Finances ; </w:t>
      </w:r>
      <w:r>
        <w:rPr>
          <w:rFonts w:ascii="Times New Roman" w:hAnsi="Times New Roman"/>
          <w:iCs/>
          <w:sz w:val="24"/>
          <w:szCs w:val="24"/>
        </w:rPr>
        <w:t xml:space="preserve">sise à Bamako, Hamdallaye ACI 2000 BP : 234 Tél : 20 22 53 41/20 22 57 26 </w:t>
      </w:r>
      <w:r>
        <w:rPr>
          <w:rFonts w:ascii="Times New Roman" w:hAnsi="Times New Roman"/>
          <w:sz w:val="24"/>
          <w:szCs w:val="24"/>
        </w:rPr>
        <w:t xml:space="preserve">de </w:t>
      </w:r>
      <w:r>
        <w:rPr>
          <w:rFonts w:ascii="Times New Roman" w:hAnsi="Times New Roman"/>
          <w:iCs/>
          <w:sz w:val="24"/>
          <w:szCs w:val="24"/>
        </w:rPr>
        <w:t>7h 30 mn à 16 h tous les jours ouvrable</w:t>
      </w:r>
      <w:r>
        <w:rPr>
          <w:rFonts w:ascii="Times New Roman" w:hAnsi="Times New Roman"/>
          <w:i/>
          <w:iCs/>
          <w:sz w:val="24"/>
          <w:szCs w:val="24"/>
        </w:rPr>
        <w:t>s.</w:t>
      </w:r>
    </w:p>
    <w:p w14:paraId="5264BE5C" w14:textId="77777777" w:rsidR="0082524F" w:rsidRDefault="0082524F" w:rsidP="0082524F">
      <w:pPr>
        <w:pStyle w:val="Paragraphedeliste"/>
        <w:numPr>
          <w:ilvl w:val="0"/>
          <w:numId w:val="2"/>
        </w:numPr>
        <w:spacing w:after="200"/>
        <w:contextualSpacing w:val="0"/>
        <w:jc w:val="both"/>
      </w:pPr>
      <w:r>
        <w:rPr>
          <w:rFonts w:ascii="Times New Roman" w:hAnsi="Times New Roman"/>
          <w:color w:val="000000"/>
          <w:sz w:val="24"/>
          <w:szCs w:val="24"/>
        </w:rPr>
        <w:t xml:space="preserve"> Les exigences en matière de qualifications sont : </w:t>
      </w:r>
    </w:p>
    <w:p w14:paraId="7DE7C176" w14:textId="77777777" w:rsidR="0082524F" w:rsidRDefault="0082524F" w:rsidP="0082524F">
      <w:pPr>
        <w:jc w:val="both"/>
        <w:rPr>
          <w:rFonts w:ascii="Times New Roman" w:hAnsi="Times New Roman"/>
          <w:b/>
          <w:bCs/>
          <w:sz w:val="24"/>
          <w:szCs w:val="24"/>
        </w:rPr>
      </w:pPr>
      <w:r>
        <w:rPr>
          <w:rFonts w:ascii="Times New Roman" w:hAnsi="Times New Roman"/>
          <w:b/>
          <w:bCs/>
          <w:sz w:val="24"/>
          <w:szCs w:val="24"/>
        </w:rPr>
        <w:t>Capacité financière :</w:t>
      </w:r>
    </w:p>
    <w:p w14:paraId="3EF5B73D" w14:textId="77777777" w:rsidR="0082524F" w:rsidRDefault="0082524F" w:rsidP="0082524F">
      <w:pPr>
        <w:jc w:val="both"/>
        <w:rPr>
          <w:rFonts w:ascii="Times New Roman" w:hAnsi="Times New Roman"/>
          <w:sz w:val="24"/>
          <w:szCs w:val="24"/>
        </w:rPr>
      </w:pPr>
      <w:r>
        <w:rPr>
          <w:rFonts w:ascii="Times New Roman" w:hAnsi="Times New Roman"/>
          <w:sz w:val="24"/>
          <w:szCs w:val="24"/>
        </w:rPr>
        <w:t>Le chiffre d’affaires moyen des années 2022, 2023 et 2024 doit être égal au moins à deux cent millions francs (200 000 000) CFA, prouvé par les états financiers (bilans, extrait des bilans et comptes d’exploitation) certifiés par un expert-comptable agréé ou attestés par un comptable agréé inscrit à l’Ordre, desquels on peut tirer les chiffres d’affaires considérés. Sur ces bilans doit figurer la mention suivante apposée par le service compétant des Imports « Bilans ou extrait de bilans conformes aux déclarations souscrites au service des Impôts ».</w:t>
      </w:r>
    </w:p>
    <w:p w14:paraId="7383843C" w14:textId="77777777" w:rsidR="0082524F" w:rsidRDefault="0082524F" w:rsidP="0082524F">
      <w:pPr>
        <w:jc w:val="both"/>
      </w:pPr>
      <w:r>
        <w:rPr>
          <w:rFonts w:ascii="Times New Roman" w:hAnsi="Times New Roman"/>
          <w:sz w:val="24"/>
          <w:szCs w:val="24"/>
        </w:rPr>
        <w:t xml:space="preserve">Les sociétés nouvellement créées dont la date d’établissement du premier bilan n’est pas arrivée à la date de dépôt des offres, doivent fournir une attestation délivrée par une banque de la place attestant que le candidat dispose de fonds d’un montant au moins égal à </w:t>
      </w:r>
      <w:r>
        <w:rPr>
          <w:rFonts w:ascii="Times New Roman" w:hAnsi="Times New Roman"/>
          <w:b/>
          <w:bCs/>
          <w:sz w:val="24"/>
          <w:szCs w:val="24"/>
        </w:rPr>
        <w:t>trois cents millions francs (300 000 000) CFA</w:t>
      </w:r>
      <w:r>
        <w:rPr>
          <w:rFonts w:ascii="Times New Roman" w:hAnsi="Times New Roman"/>
          <w:sz w:val="24"/>
          <w:szCs w:val="24"/>
        </w:rPr>
        <w:t xml:space="preserve"> ou un engagement bancaire à financer entièrement le marché. Voir les DPAO pour les informations détaillées.</w:t>
      </w:r>
    </w:p>
    <w:p w14:paraId="1774F347" w14:textId="77777777" w:rsidR="0082524F" w:rsidRDefault="0082524F" w:rsidP="0082524F">
      <w:pPr>
        <w:spacing w:before="100" w:after="100"/>
        <w:jc w:val="both"/>
      </w:pPr>
      <w:r>
        <w:rPr>
          <w:rFonts w:ascii="Times New Roman" w:hAnsi="Times New Roman"/>
          <w:sz w:val="24"/>
          <w:szCs w:val="24"/>
        </w:rPr>
        <w:t xml:space="preserve"> </w:t>
      </w:r>
      <w:r>
        <w:rPr>
          <w:rFonts w:ascii="Times New Roman" w:hAnsi="Times New Roman"/>
          <w:b/>
          <w:bCs/>
          <w:sz w:val="24"/>
          <w:szCs w:val="24"/>
        </w:rPr>
        <w:t>Capacité technique et expérience</w:t>
      </w:r>
    </w:p>
    <w:p w14:paraId="7CA59978" w14:textId="77777777" w:rsidR="0082524F" w:rsidRDefault="0082524F" w:rsidP="0082524F">
      <w:r>
        <w:rPr>
          <w:rFonts w:ascii="Times New Roman" w:hAnsi="Times New Roman"/>
          <w:sz w:val="24"/>
          <w:szCs w:val="24"/>
        </w:rPr>
        <w:t xml:space="preserve">Le Soumissionnaire doit prouver, documentation à l’appui qu’il satisfait aux exigences de capacité technique ci-après : </w:t>
      </w:r>
      <w:r>
        <w:rPr>
          <w:rFonts w:ascii="Times New Roman" w:hAnsi="Times New Roman"/>
          <w:sz w:val="24"/>
        </w:rPr>
        <w:t>avoir réalisé au moins deux (02) marchés similaires, quittances et imprimés sécurisés, reçus informatisés, passeports, ou tout autres documents sécurisés équivalents  au cours des années 2021 à 2025, prouvés par les attestations de bonne exécution, les procès-verbaux de réception provisoire ou définitive accompagnés des copies des pages de garde et de signature des marchés correspondants émanant d’institutions publiques, parapubliques ou internationales.</w:t>
      </w:r>
    </w:p>
    <w:p w14:paraId="77FD9703" w14:textId="77777777" w:rsidR="0082524F" w:rsidRPr="0051228F" w:rsidRDefault="0082524F" w:rsidP="0082524F">
      <w:pPr>
        <w:widowControl w:val="0"/>
        <w:overflowPunct w:val="0"/>
        <w:autoSpaceDE w:val="0"/>
        <w:adjustRightInd w:val="0"/>
        <w:spacing w:before="60" w:after="60" w:line="276" w:lineRule="auto"/>
        <w:jc w:val="both"/>
        <w:rPr>
          <w:rFonts w:ascii="Times New Roman" w:hAnsi="Times New Roman"/>
          <w:sz w:val="24"/>
          <w:szCs w:val="24"/>
        </w:rPr>
      </w:pPr>
      <w:r w:rsidRPr="00F1552E">
        <w:rPr>
          <w:rFonts w:ascii="Times New Roman" w:hAnsi="Times New Roman"/>
          <w:sz w:val="24"/>
          <w:szCs w:val="24"/>
        </w:rPr>
        <w:lastRenderedPageBreak/>
        <w:t>-</w:t>
      </w:r>
      <w:r w:rsidRPr="00F1552E">
        <w:rPr>
          <w:rFonts w:ascii="Times New Roman" w:hAnsi="Times New Roman"/>
          <w:sz w:val="24"/>
        </w:rPr>
        <w:t>Avoir</w:t>
      </w:r>
      <w:r w:rsidRPr="0051228F">
        <w:rPr>
          <w:rFonts w:ascii="Times New Roman" w:hAnsi="Times New Roman"/>
          <w:sz w:val="24"/>
          <w:szCs w:val="24"/>
        </w:rPr>
        <w:t xml:space="preserve"> un personnel avec des compétences avérées </w:t>
      </w:r>
      <w:r>
        <w:rPr>
          <w:rFonts w:ascii="Times New Roman" w:hAnsi="Times New Roman"/>
          <w:sz w:val="24"/>
          <w:szCs w:val="24"/>
        </w:rPr>
        <w:t>dans l’imprimerie</w:t>
      </w:r>
      <w:r w:rsidRPr="0051228F">
        <w:rPr>
          <w:rFonts w:ascii="Times New Roman" w:hAnsi="Times New Roman"/>
          <w:sz w:val="24"/>
          <w:szCs w:val="24"/>
        </w:rPr>
        <w:t xml:space="preserve"> :</w:t>
      </w:r>
    </w:p>
    <w:p w14:paraId="56974932" w14:textId="77777777" w:rsidR="0082524F" w:rsidRPr="0051228F" w:rsidRDefault="0082524F" w:rsidP="0082524F">
      <w:pPr>
        <w:suppressAutoHyphens w:val="0"/>
        <w:autoSpaceDN/>
        <w:spacing w:after="240"/>
        <w:textAlignment w:val="auto"/>
        <w:rPr>
          <w:rFonts w:ascii="Times New Roman" w:hAnsi="Times New Roman"/>
          <w:sz w:val="24"/>
          <w:szCs w:val="24"/>
        </w:rPr>
      </w:pPr>
      <w:r>
        <w:rPr>
          <w:rFonts w:ascii="Times New Roman" w:hAnsi="Times New Roman"/>
          <w:sz w:val="24"/>
          <w:szCs w:val="24"/>
        </w:rPr>
        <w:t>-</w:t>
      </w:r>
      <w:r w:rsidRPr="0051228F">
        <w:rPr>
          <w:rFonts w:ascii="Times New Roman" w:hAnsi="Times New Roman"/>
          <w:sz w:val="24"/>
          <w:szCs w:val="24"/>
        </w:rPr>
        <w:t>Directeur Technique (bac +</w:t>
      </w:r>
      <w:r>
        <w:rPr>
          <w:rFonts w:ascii="Times New Roman" w:hAnsi="Times New Roman"/>
          <w:sz w:val="24"/>
          <w:szCs w:val="24"/>
        </w:rPr>
        <w:t>4</w:t>
      </w:r>
      <w:r w:rsidRPr="0051228F">
        <w:rPr>
          <w:rFonts w:ascii="Times New Roman" w:hAnsi="Times New Roman"/>
          <w:sz w:val="24"/>
          <w:szCs w:val="24"/>
        </w:rPr>
        <w:t xml:space="preserve"> au minimum), avec une expérience de </w:t>
      </w:r>
      <w:r>
        <w:rPr>
          <w:rFonts w:ascii="Times New Roman" w:hAnsi="Times New Roman"/>
          <w:sz w:val="24"/>
          <w:szCs w:val="24"/>
        </w:rPr>
        <w:t>dix</w:t>
      </w:r>
      <w:r w:rsidRPr="0051228F">
        <w:rPr>
          <w:rFonts w:ascii="Times New Roman" w:hAnsi="Times New Roman"/>
          <w:sz w:val="24"/>
          <w:szCs w:val="24"/>
        </w:rPr>
        <w:t xml:space="preserve"> (</w:t>
      </w:r>
      <w:r>
        <w:rPr>
          <w:rFonts w:ascii="Times New Roman" w:hAnsi="Times New Roman"/>
          <w:sz w:val="24"/>
          <w:szCs w:val="24"/>
        </w:rPr>
        <w:t>10</w:t>
      </w:r>
      <w:r w:rsidRPr="0051228F">
        <w:rPr>
          <w:rFonts w:ascii="Times New Roman" w:hAnsi="Times New Roman"/>
          <w:sz w:val="24"/>
          <w:szCs w:val="24"/>
        </w:rPr>
        <w:t xml:space="preserve">) ans au minimum dans </w:t>
      </w:r>
      <w:r>
        <w:rPr>
          <w:rFonts w:ascii="Times New Roman" w:hAnsi="Times New Roman"/>
          <w:sz w:val="24"/>
          <w:szCs w:val="24"/>
        </w:rPr>
        <w:t>l’imprimerie</w:t>
      </w:r>
      <w:r w:rsidRPr="0051228F">
        <w:rPr>
          <w:rFonts w:ascii="Times New Roman" w:hAnsi="Times New Roman"/>
          <w:sz w:val="24"/>
          <w:szCs w:val="24"/>
        </w:rPr>
        <w:t xml:space="preserve"> ;</w:t>
      </w:r>
    </w:p>
    <w:p w14:paraId="04DFEDCA" w14:textId="77777777" w:rsidR="0082524F" w:rsidRDefault="0082524F" w:rsidP="0082524F">
      <w:pPr>
        <w:rPr>
          <w:rFonts w:ascii="Times New Roman" w:hAnsi="Times New Roman"/>
          <w:sz w:val="24"/>
        </w:rPr>
      </w:pPr>
      <w:r w:rsidRPr="0051228F">
        <w:rPr>
          <w:rFonts w:ascii="Times New Roman" w:hAnsi="Times New Roman"/>
          <w:sz w:val="24"/>
          <w:szCs w:val="24"/>
        </w:rPr>
        <w:t xml:space="preserve">Un Infographe (bac + </w:t>
      </w:r>
      <w:r>
        <w:rPr>
          <w:rFonts w:ascii="Times New Roman" w:hAnsi="Times New Roman"/>
          <w:sz w:val="24"/>
          <w:szCs w:val="24"/>
        </w:rPr>
        <w:t>3</w:t>
      </w:r>
      <w:r w:rsidRPr="0051228F">
        <w:rPr>
          <w:rFonts w:ascii="Times New Roman" w:hAnsi="Times New Roman"/>
          <w:sz w:val="24"/>
          <w:szCs w:val="24"/>
        </w:rPr>
        <w:t xml:space="preserve"> au minimum), avec au moins cinq (05) ans d’expérience dans </w:t>
      </w:r>
      <w:r>
        <w:rPr>
          <w:rFonts w:ascii="Times New Roman" w:hAnsi="Times New Roman"/>
          <w:sz w:val="24"/>
          <w:szCs w:val="24"/>
        </w:rPr>
        <w:t>l’infographie.</w:t>
      </w:r>
    </w:p>
    <w:p w14:paraId="1DB22412" w14:textId="77777777" w:rsidR="0082524F" w:rsidRPr="008F67D8" w:rsidRDefault="0082524F" w:rsidP="0082524F">
      <w:pPr>
        <w:jc w:val="both"/>
        <w:rPr>
          <w:rFonts w:ascii="Times New Roman" w:hAnsi="Times New Roman"/>
          <w:sz w:val="24"/>
          <w:szCs w:val="24"/>
        </w:rPr>
      </w:pPr>
      <w:r w:rsidRPr="008F67D8">
        <w:rPr>
          <w:rFonts w:ascii="Times New Roman" w:hAnsi="Times New Roman"/>
          <w:sz w:val="24"/>
          <w:szCs w:val="24"/>
        </w:rPr>
        <w:t>Pour les sociétés nouvellement créées : toute fois, pour l’appréciation des expériences, la candidature de ces sociétés doit être examinée au regard des capacités professionnelles et techniques, notamment par le biais des expériences et références obtenues par leurs dirigeants en matière d’acquisition ou de fournitures de quittances et imprimés sécurisés, reçus informatisés, passeports, ou tout autres documents sécurisés équivalents. Lesdits marchés similaires doivent être prouvés par les attestations de bonne exécution, soit par les procès-verbaux de réception provisoire ou définitive accompagnés des copies des pages de garde et de signature des marchés correspondants émanant d’institutions publiques, parapubliques ou internationales permettant de justifier de sa capacité à exécuter le marché dans les règles de l’art pendant la période 2021-2025.</w:t>
      </w:r>
    </w:p>
    <w:p w14:paraId="561E772B" w14:textId="77777777" w:rsidR="0082524F" w:rsidRPr="00441C0B" w:rsidRDefault="0082524F" w:rsidP="0082524F">
      <w:pPr>
        <w:jc w:val="both"/>
        <w:rPr>
          <w:rFonts w:ascii="Times New Roman" w:hAnsi="Times New Roman"/>
          <w:sz w:val="24"/>
          <w:szCs w:val="24"/>
        </w:rPr>
      </w:pPr>
      <w:r w:rsidRPr="008F67D8">
        <w:rPr>
          <w:rFonts w:ascii="Times New Roman" w:hAnsi="Times New Roman"/>
          <w:sz w:val="24"/>
          <w:szCs w:val="24"/>
        </w:rPr>
        <w:t>Aussi, elles doivent fournir la liste du personnel requis ci-dessus demandé</w:t>
      </w:r>
      <w:r>
        <w:rPr>
          <w:rFonts w:ascii="Times New Roman" w:hAnsi="Times New Roman"/>
          <w:sz w:val="24"/>
          <w:szCs w:val="24"/>
        </w:rPr>
        <w:t>.</w:t>
      </w:r>
    </w:p>
    <w:p w14:paraId="69CE820A" w14:textId="77777777" w:rsidR="0082524F" w:rsidRDefault="0082524F" w:rsidP="0082524F">
      <w:pPr>
        <w:pStyle w:val="Paragraphedeliste"/>
        <w:numPr>
          <w:ilvl w:val="0"/>
          <w:numId w:val="2"/>
        </w:numPr>
        <w:contextualSpacing w:val="0"/>
        <w:jc w:val="both"/>
        <w:rPr>
          <w:rFonts w:ascii="Times New Roman" w:hAnsi="Times New Roman"/>
          <w:sz w:val="24"/>
          <w:szCs w:val="24"/>
        </w:rPr>
      </w:pPr>
      <w:r>
        <w:rPr>
          <w:rFonts w:ascii="Times New Roman" w:hAnsi="Times New Roman"/>
          <w:sz w:val="24"/>
          <w:szCs w:val="24"/>
        </w:rPr>
        <w:t xml:space="preserve">Les candidats intéressés peuvent consulter gratuitement le dossier d’Appel d’offres </w:t>
      </w:r>
    </w:p>
    <w:p w14:paraId="325F962C" w14:textId="77777777" w:rsidR="0082524F" w:rsidRDefault="0082524F" w:rsidP="0082524F">
      <w:pPr>
        <w:jc w:val="both"/>
      </w:pPr>
      <w:r>
        <w:rPr>
          <w:rFonts w:ascii="Times New Roman" w:hAnsi="Times New Roman"/>
          <w:sz w:val="24"/>
          <w:szCs w:val="24"/>
        </w:rPr>
        <w:t>Complet ou le retirer à titre onéreux contre paiement</w:t>
      </w:r>
      <w:r>
        <w:rPr>
          <w:rStyle w:val="Appelnotedebasdep"/>
          <w:rFonts w:ascii="Times New Roman" w:hAnsi="Times New Roman"/>
        </w:rPr>
        <w:footnoteReference w:id="1"/>
      </w:r>
      <w:r>
        <w:rPr>
          <w:rFonts w:ascii="Times New Roman" w:hAnsi="Times New Roman"/>
          <w:sz w:val="24"/>
          <w:szCs w:val="24"/>
        </w:rPr>
        <w:t xml:space="preserve">  d’une somme non remboursable de cent mille (</w:t>
      </w:r>
      <w:r>
        <w:rPr>
          <w:rFonts w:ascii="Times New Roman" w:hAnsi="Times New Roman"/>
          <w:b/>
          <w:sz w:val="24"/>
          <w:szCs w:val="24"/>
        </w:rPr>
        <w:t>100 000</w:t>
      </w:r>
      <w:r>
        <w:rPr>
          <w:rFonts w:ascii="Times New Roman" w:hAnsi="Times New Roman"/>
          <w:sz w:val="24"/>
          <w:szCs w:val="24"/>
        </w:rPr>
        <w:t xml:space="preserve">) </w:t>
      </w:r>
      <w:r>
        <w:rPr>
          <w:rFonts w:ascii="Times New Roman" w:hAnsi="Times New Roman"/>
          <w:b/>
          <w:sz w:val="24"/>
          <w:szCs w:val="24"/>
        </w:rPr>
        <w:t xml:space="preserve">FCFA </w:t>
      </w:r>
      <w:r>
        <w:rPr>
          <w:rFonts w:ascii="Times New Roman" w:hAnsi="Times New Roman"/>
          <w:sz w:val="24"/>
          <w:szCs w:val="24"/>
        </w:rPr>
        <w:t xml:space="preserve">à l’adresse mentionnée ci-après : Division Approvisionnement et Marché Public de la Direction des Finances et du Matériel du Ministère de l’Economie et des Finances. La méthode de paiement sera </w:t>
      </w:r>
      <w:r>
        <w:t>en espèces</w:t>
      </w:r>
      <w:r>
        <w:rPr>
          <w:rFonts w:ascii="Times New Roman" w:hAnsi="Times New Roman"/>
          <w:sz w:val="24"/>
          <w:szCs w:val="24"/>
        </w:rPr>
        <w:t>. Le Dossier d’Appel d’offres sera remis directement au candidat après paiement du montant ci- dessus indiqué</w:t>
      </w:r>
      <w:r>
        <w:rPr>
          <w:rFonts w:ascii="Times New Roman" w:hAnsi="Times New Roman"/>
          <w:i/>
          <w:sz w:val="24"/>
          <w:szCs w:val="24"/>
        </w:rPr>
        <w:t>.</w:t>
      </w:r>
    </w:p>
    <w:p w14:paraId="1810D5FA" w14:textId="77777777" w:rsidR="0082524F" w:rsidRDefault="0082524F" w:rsidP="0082524F">
      <w:pPr>
        <w:pStyle w:val="Paragraphedeliste"/>
        <w:numPr>
          <w:ilvl w:val="0"/>
          <w:numId w:val="2"/>
        </w:numPr>
        <w:contextualSpacing w:val="0"/>
        <w:jc w:val="both"/>
      </w:pPr>
      <w:r>
        <w:rPr>
          <w:rFonts w:ascii="Times New Roman" w:hAnsi="Times New Roman"/>
          <w:sz w:val="24"/>
          <w:szCs w:val="24"/>
        </w:rPr>
        <w:t xml:space="preserve">Les offres devront être soumises à l’adresse ci-après, </w:t>
      </w:r>
      <w:r>
        <w:rPr>
          <w:rFonts w:ascii="Times New Roman" w:hAnsi="Times New Roman"/>
          <w:b/>
        </w:rPr>
        <w:t xml:space="preserve">Direction des Finances et du </w:t>
      </w:r>
    </w:p>
    <w:p w14:paraId="58ED8FF1" w14:textId="77777777" w:rsidR="0082524F" w:rsidRDefault="0082524F" w:rsidP="0082524F">
      <w:pPr>
        <w:jc w:val="both"/>
      </w:pPr>
      <w:r>
        <w:rPr>
          <w:rFonts w:ascii="Times New Roman" w:hAnsi="Times New Roman"/>
          <w:b/>
        </w:rPr>
        <w:t>Matériel du Ministère de l’Economie et des Finances</w:t>
      </w:r>
      <w:r>
        <w:rPr>
          <w:rStyle w:val="Titre3Car"/>
          <w:rFonts w:ascii="Times New Roman" w:eastAsia="Calibri" w:hAnsi="Times New Roman"/>
        </w:rPr>
        <w:t xml:space="preserve"> </w:t>
      </w:r>
      <w:r>
        <w:rPr>
          <w:rFonts w:ascii="Times New Roman" w:hAnsi="Times New Roman"/>
          <w:sz w:val="24"/>
          <w:szCs w:val="24"/>
        </w:rPr>
        <w:t xml:space="preserve">au plus tard </w:t>
      </w:r>
      <w:r w:rsidRPr="00D01902">
        <w:rPr>
          <w:rFonts w:ascii="Times New Roman" w:hAnsi="Times New Roman"/>
          <w:b/>
          <w:bCs/>
          <w:sz w:val="24"/>
          <w:szCs w:val="24"/>
        </w:rPr>
        <w:t xml:space="preserve">le </w:t>
      </w:r>
      <w:r>
        <w:rPr>
          <w:rFonts w:ascii="Times New Roman" w:hAnsi="Times New Roman"/>
          <w:b/>
          <w:bCs/>
          <w:sz w:val="24"/>
          <w:szCs w:val="24"/>
        </w:rPr>
        <w:t>……………2026</w:t>
      </w:r>
      <w:r w:rsidRPr="00D01902">
        <w:rPr>
          <w:rFonts w:ascii="Times New Roman" w:hAnsi="Times New Roman"/>
          <w:b/>
          <w:bCs/>
          <w:sz w:val="24"/>
          <w:szCs w:val="24"/>
        </w:rPr>
        <w:t xml:space="preserve"> à 10 h 00</w:t>
      </w:r>
      <w:r>
        <w:rPr>
          <w:rFonts w:ascii="Times New Roman" w:hAnsi="Times New Roman"/>
          <w:sz w:val="24"/>
          <w:szCs w:val="24"/>
        </w:rPr>
        <w:t xml:space="preserve"> mn. Les offres remises en retard ne seront pas acceptées.</w:t>
      </w:r>
    </w:p>
    <w:p w14:paraId="2CB7EC44" w14:textId="77777777" w:rsidR="0082524F" w:rsidRDefault="0082524F" w:rsidP="0082524F">
      <w:pPr>
        <w:pStyle w:val="Paragraphedeliste"/>
        <w:numPr>
          <w:ilvl w:val="0"/>
          <w:numId w:val="2"/>
        </w:numPr>
        <w:contextualSpacing w:val="0"/>
        <w:jc w:val="both"/>
      </w:pPr>
      <w:r>
        <w:rPr>
          <w:rFonts w:ascii="Times New Roman" w:hAnsi="Times New Roman"/>
          <w:sz w:val="24"/>
          <w:szCs w:val="24"/>
        </w:rPr>
        <w:t xml:space="preserve">Les offres doivent comprendre une garantie bancaire de soumission, </w:t>
      </w:r>
      <w:r>
        <w:rPr>
          <w:rFonts w:ascii="Times New Roman" w:hAnsi="Times New Roman"/>
          <w:b/>
          <w:bCs/>
          <w:sz w:val="24"/>
          <w:szCs w:val="24"/>
        </w:rPr>
        <w:t>d’un montant de huit millions sept cent mille francs (8 700 000)</w:t>
      </w:r>
      <w:r>
        <w:rPr>
          <w:rFonts w:ascii="Times New Roman" w:hAnsi="Times New Roman"/>
          <w:b/>
          <w:sz w:val="24"/>
          <w:szCs w:val="24"/>
        </w:rPr>
        <w:t xml:space="preserve"> CFA</w:t>
      </w:r>
      <w:r>
        <w:rPr>
          <w:rFonts w:ascii="Times New Roman" w:hAnsi="Times New Roman"/>
          <w:sz w:val="24"/>
          <w:szCs w:val="24"/>
        </w:rPr>
        <w:t xml:space="preserve"> conformément à l’article 69 du Code des marchés publics.</w:t>
      </w:r>
    </w:p>
    <w:p w14:paraId="26EFACC5" w14:textId="77777777" w:rsidR="0082524F" w:rsidRDefault="0082524F" w:rsidP="0082524F">
      <w:pPr>
        <w:pStyle w:val="Paragraphedeliste"/>
        <w:numPr>
          <w:ilvl w:val="0"/>
          <w:numId w:val="2"/>
        </w:numPr>
        <w:contextualSpacing w:val="0"/>
        <w:jc w:val="both"/>
        <w:rPr>
          <w:rFonts w:ascii="Times New Roman" w:hAnsi="Times New Roman"/>
          <w:sz w:val="24"/>
          <w:szCs w:val="24"/>
        </w:rPr>
      </w:pPr>
      <w:r>
        <w:rPr>
          <w:rFonts w:ascii="Times New Roman" w:hAnsi="Times New Roman"/>
          <w:sz w:val="24"/>
          <w:szCs w:val="24"/>
        </w:rPr>
        <w:t xml:space="preserve">Les Soumissionnaires resteront engagés par leur offre pendant une période de quatre </w:t>
      </w:r>
    </w:p>
    <w:p w14:paraId="53C3C0A8" w14:textId="77777777" w:rsidR="0082524F" w:rsidRDefault="0082524F" w:rsidP="0082524F">
      <w:pPr>
        <w:jc w:val="both"/>
      </w:pPr>
      <w:proofErr w:type="gramStart"/>
      <w:r>
        <w:rPr>
          <w:rFonts w:ascii="Times New Roman" w:hAnsi="Times New Roman"/>
          <w:sz w:val="24"/>
          <w:szCs w:val="24"/>
        </w:rPr>
        <w:t>vingt</w:t>
      </w:r>
      <w:proofErr w:type="gramEnd"/>
      <w:r>
        <w:rPr>
          <w:rFonts w:ascii="Times New Roman" w:hAnsi="Times New Roman"/>
          <w:sz w:val="24"/>
          <w:szCs w:val="24"/>
        </w:rPr>
        <w:t xml:space="preserve"> dix </w:t>
      </w:r>
      <w:r>
        <w:rPr>
          <w:rFonts w:ascii="Times New Roman" w:hAnsi="Times New Roman"/>
          <w:b/>
          <w:sz w:val="24"/>
          <w:szCs w:val="24"/>
        </w:rPr>
        <w:t>90</w:t>
      </w:r>
      <w:r>
        <w:rPr>
          <w:rFonts w:ascii="Times New Roman" w:hAnsi="Times New Roman"/>
          <w:i/>
          <w:sz w:val="24"/>
          <w:szCs w:val="24"/>
        </w:rPr>
        <w:t xml:space="preserve"> </w:t>
      </w:r>
      <w:r>
        <w:rPr>
          <w:rFonts w:ascii="Times New Roman" w:hAnsi="Times New Roman"/>
          <w:sz w:val="24"/>
          <w:szCs w:val="24"/>
        </w:rPr>
        <w:t>jours à compter de la date d’ouverture des plis comme spécifié au point 19.1 des IC et aux DPAO.</w:t>
      </w:r>
    </w:p>
    <w:p w14:paraId="17C2C4A0" w14:textId="77777777" w:rsidR="0082524F" w:rsidRDefault="0082524F" w:rsidP="0082524F">
      <w:pPr>
        <w:pStyle w:val="Paragraphedeliste"/>
        <w:numPr>
          <w:ilvl w:val="0"/>
          <w:numId w:val="2"/>
        </w:numPr>
        <w:contextualSpacing w:val="0"/>
        <w:jc w:val="both"/>
        <w:rPr>
          <w:rFonts w:ascii="Times New Roman" w:hAnsi="Times New Roman"/>
          <w:sz w:val="24"/>
          <w:szCs w:val="24"/>
        </w:rPr>
      </w:pPr>
      <w:r>
        <w:rPr>
          <w:rFonts w:ascii="Times New Roman" w:hAnsi="Times New Roman"/>
          <w:sz w:val="24"/>
          <w:szCs w:val="24"/>
        </w:rPr>
        <w:t xml:space="preserve">Les offres seront ouvertes en présence des représentants des soumissionnaires qui </w:t>
      </w:r>
    </w:p>
    <w:p w14:paraId="19B5EC3F" w14:textId="0290A78E" w:rsidR="0082524F" w:rsidRDefault="0082524F" w:rsidP="0082524F">
      <w:pPr>
        <w:jc w:val="both"/>
        <w:rPr>
          <w:rFonts w:ascii="Times New Roman" w:hAnsi="Times New Roman"/>
          <w:sz w:val="24"/>
          <w:szCs w:val="24"/>
        </w:rPr>
      </w:pPr>
      <w:r>
        <w:rPr>
          <w:rFonts w:ascii="Times New Roman" w:hAnsi="Times New Roman"/>
          <w:sz w:val="24"/>
          <w:szCs w:val="24"/>
        </w:rPr>
        <w:t xml:space="preserve">Souhaitent assister à l’ouverture des plis </w:t>
      </w:r>
      <w:r w:rsidRPr="00D01902">
        <w:rPr>
          <w:rFonts w:ascii="Times New Roman" w:hAnsi="Times New Roman"/>
          <w:b/>
          <w:bCs/>
          <w:sz w:val="24"/>
          <w:szCs w:val="24"/>
        </w:rPr>
        <w:t>le</w:t>
      </w:r>
      <w:r>
        <w:rPr>
          <w:rFonts w:ascii="Times New Roman" w:hAnsi="Times New Roman"/>
          <w:b/>
          <w:bCs/>
          <w:sz w:val="24"/>
          <w:szCs w:val="24"/>
        </w:rPr>
        <w:t xml:space="preserve"> ………. 2026</w:t>
      </w:r>
      <w:r w:rsidRPr="00D01902">
        <w:rPr>
          <w:rFonts w:ascii="Times New Roman" w:hAnsi="Times New Roman"/>
          <w:b/>
          <w:bCs/>
          <w:sz w:val="24"/>
          <w:szCs w:val="24"/>
        </w:rPr>
        <w:t xml:space="preserve"> à 10 heures 30</w:t>
      </w:r>
      <w:r>
        <w:rPr>
          <w:rFonts w:ascii="Times New Roman" w:hAnsi="Times New Roman"/>
          <w:sz w:val="24"/>
          <w:szCs w:val="24"/>
        </w:rPr>
        <w:t xml:space="preserve"> minutes à l’adresse suivante : Direction des Finances et du Matériel du Ministère de l’Economie et des Finances Immeuble Hôtel des Finances sise à Hamdallaye ACI 2000.</w:t>
      </w:r>
    </w:p>
    <w:p w14:paraId="7C4C8AC3" w14:textId="5BB80A55" w:rsidR="0082524F" w:rsidRDefault="0082524F" w:rsidP="0082524F">
      <w:pPr>
        <w:tabs>
          <w:tab w:val="left" w:pos="6240"/>
        </w:tabs>
        <w:jc w:val="both"/>
      </w:pPr>
      <w:r>
        <w:tab/>
        <w:t>Bamako le,</w:t>
      </w:r>
    </w:p>
    <w:p w14:paraId="275EED3C" w14:textId="3E714070" w:rsidR="0082524F" w:rsidRPr="0082524F" w:rsidRDefault="0082524F" w:rsidP="0082524F">
      <w:pPr>
        <w:rPr>
          <w:rFonts w:ascii="Times New Roman" w:hAnsi="Times New Roman"/>
          <w:sz w:val="20"/>
        </w:rPr>
      </w:pPr>
      <w:r>
        <w:rPr>
          <w:rFonts w:ascii="Times New Roman" w:hAnsi="Times New Roman"/>
          <w:sz w:val="20"/>
        </w:rPr>
        <w:t xml:space="preserve">                                                                         </w:t>
      </w:r>
      <w:r>
        <w:rPr>
          <w:rFonts w:ascii="Times New Roman" w:hAnsi="Times New Roman"/>
          <w:b/>
        </w:rPr>
        <w:t>LE DIRECTEUR DES FINANCES ET DU MATERIEL</w:t>
      </w:r>
      <w:r>
        <w:rPr>
          <w:rFonts w:ascii="Times New Roman" w:hAnsi="Times New Roman"/>
          <w:sz w:val="20"/>
        </w:rPr>
        <w:t xml:space="preserve">   </w:t>
      </w:r>
    </w:p>
    <w:p w14:paraId="354FFE56" w14:textId="77777777" w:rsidR="0082524F" w:rsidRDefault="0082524F" w:rsidP="0082524F">
      <w:pPr>
        <w:spacing w:after="0"/>
      </w:pPr>
      <w:r>
        <w:rPr>
          <w:rFonts w:ascii="Times New Roman" w:hAnsi="Times New Roman"/>
          <w:b/>
        </w:rPr>
        <w:t xml:space="preserve">                                                                                       </w:t>
      </w:r>
      <w:r>
        <w:rPr>
          <w:rFonts w:ascii="Times New Roman" w:hAnsi="Times New Roman"/>
          <w:b/>
          <w:noProof/>
          <w:u w:val="single"/>
          <w:lang w:val="en-US"/>
        </w:rPr>
        <mc:AlternateContent>
          <mc:Choice Requires="wps">
            <w:drawing>
              <wp:anchor distT="0" distB="0" distL="114300" distR="114300" simplePos="0" relativeHeight="251659264" behindDoc="0" locked="0" layoutInCell="1" allowOverlap="1" wp14:anchorId="313974E6" wp14:editId="044660F1">
                <wp:simplePos x="0" y="0"/>
                <wp:positionH relativeFrom="column">
                  <wp:posOffset>6398898</wp:posOffset>
                </wp:positionH>
                <wp:positionV relativeFrom="paragraph">
                  <wp:posOffset>158748</wp:posOffset>
                </wp:positionV>
                <wp:extent cx="85094" cy="45089"/>
                <wp:effectExtent l="0" t="0" r="0" b="0"/>
                <wp:wrapNone/>
                <wp:docPr id="1338035069" name="Zone de texte 1"/>
                <wp:cNvGraphicFramePr/>
                <a:graphic xmlns:a="http://schemas.openxmlformats.org/drawingml/2006/main">
                  <a:graphicData uri="http://schemas.microsoft.com/office/word/2010/wordprocessingShape">
                    <wps:wsp>
                      <wps:cNvSpPr txBox="1"/>
                      <wps:spPr>
                        <a:xfrm>
                          <a:off x="0" y="0"/>
                          <a:ext cx="85094" cy="45089"/>
                        </a:xfrm>
                        <a:prstGeom prst="rect">
                          <a:avLst/>
                        </a:prstGeom>
                        <a:solidFill>
                          <a:srgbClr val="FFFFFF"/>
                        </a:solidFill>
                        <a:ln>
                          <a:noFill/>
                          <a:prstDash/>
                        </a:ln>
                      </wps:spPr>
                      <wps:txbx>
                        <w:txbxContent>
                          <w:p w14:paraId="4C226809" w14:textId="77777777" w:rsidR="0082524F" w:rsidRDefault="0082524F" w:rsidP="0082524F"/>
                          <w:p w14:paraId="5EFE11BC" w14:textId="77777777" w:rsidR="0082524F" w:rsidRDefault="0082524F" w:rsidP="0082524F"/>
                          <w:p w14:paraId="53FB4BC9" w14:textId="77777777" w:rsidR="0082524F" w:rsidRDefault="0082524F" w:rsidP="0082524F"/>
                          <w:p w14:paraId="6A974CD6" w14:textId="77777777" w:rsidR="0082524F" w:rsidRDefault="0082524F" w:rsidP="0082524F"/>
                          <w:p w14:paraId="496BA062" w14:textId="77777777" w:rsidR="0082524F" w:rsidRDefault="0082524F" w:rsidP="0082524F"/>
                          <w:p w14:paraId="40F4A5FF" w14:textId="77777777" w:rsidR="0082524F" w:rsidRDefault="0082524F" w:rsidP="0082524F"/>
                          <w:p w14:paraId="0490EBAD" w14:textId="77777777" w:rsidR="0082524F" w:rsidRDefault="0082524F" w:rsidP="0082524F"/>
                          <w:p w14:paraId="46ADFCA0" w14:textId="77777777" w:rsidR="0082524F" w:rsidRDefault="0082524F" w:rsidP="0082524F"/>
                          <w:p w14:paraId="1BC1697C" w14:textId="77777777" w:rsidR="0082524F" w:rsidRDefault="0082524F" w:rsidP="0082524F"/>
                          <w:p w14:paraId="65F867FA" w14:textId="77777777" w:rsidR="0082524F" w:rsidRDefault="0082524F" w:rsidP="0082524F"/>
                          <w:p w14:paraId="05B9C8ED" w14:textId="77777777" w:rsidR="0082524F" w:rsidRDefault="0082524F" w:rsidP="0082524F"/>
                          <w:p w14:paraId="435DDD2D" w14:textId="77777777" w:rsidR="0082524F" w:rsidRDefault="0082524F" w:rsidP="0082524F"/>
                          <w:p w14:paraId="02FAE037" w14:textId="77777777" w:rsidR="0082524F" w:rsidRDefault="0082524F" w:rsidP="0082524F"/>
                          <w:p w14:paraId="6D7861CA" w14:textId="77777777" w:rsidR="0082524F" w:rsidRDefault="0082524F" w:rsidP="0082524F"/>
                          <w:p w14:paraId="3E4C6AFC" w14:textId="77777777" w:rsidR="0082524F" w:rsidRDefault="0082524F" w:rsidP="0082524F"/>
                          <w:p w14:paraId="14B125FC" w14:textId="77777777" w:rsidR="0082524F" w:rsidRDefault="0082524F" w:rsidP="0082524F"/>
                          <w:p w14:paraId="6B0ADF41" w14:textId="77777777" w:rsidR="0082524F" w:rsidRDefault="0082524F" w:rsidP="0082524F"/>
                          <w:p w14:paraId="1B23AEFC" w14:textId="77777777" w:rsidR="0082524F" w:rsidRDefault="0082524F" w:rsidP="0082524F"/>
                          <w:p w14:paraId="42FCC274" w14:textId="77777777" w:rsidR="0082524F" w:rsidRDefault="0082524F" w:rsidP="0082524F"/>
                          <w:p w14:paraId="75BCABDD" w14:textId="77777777" w:rsidR="0082524F" w:rsidRDefault="0082524F" w:rsidP="0082524F"/>
                          <w:p w14:paraId="621A2150" w14:textId="77777777" w:rsidR="0082524F" w:rsidRDefault="0082524F" w:rsidP="0082524F"/>
                          <w:p w14:paraId="1F7CE6C9" w14:textId="77777777" w:rsidR="0082524F" w:rsidRDefault="0082524F" w:rsidP="0082524F"/>
                          <w:p w14:paraId="15AE7601" w14:textId="77777777" w:rsidR="0082524F" w:rsidRDefault="0082524F" w:rsidP="0082524F"/>
                          <w:p w14:paraId="60F1B4B1" w14:textId="77777777" w:rsidR="0082524F" w:rsidRDefault="0082524F" w:rsidP="0082524F"/>
                          <w:p w14:paraId="33ADCA36" w14:textId="77777777" w:rsidR="0082524F" w:rsidRDefault="0082524F" w:rsidP="0082524F"/>
                          <w:p w14:paraId="2D334047" w14:textId="77777777" w:rsidR="0082524F" w:rsidRDefault="0082524F" w:rsidP="0082524F"/>
                          <w:p w14:paraId="2235A249" w14:textId="77777777" w:rsidR="0082524F" w:rsidRDefault="0082524F" w:rsidP="0082524F"/>
                          <w:p w14:paraId="7E9F90B9" w14:textId="77777777" w:rsidR="0082524F" w:rsidRDefault="0082524F" w:rsidP="0082524F"/>
                          <w:p w14:paraId="4A8010FA" w14:textId="77777777" w:rsidR="0082524F" w:rsidRDefault="0082524F" w:rsidP="0082524F"/>
                          <w:p w14:paraId="2E1825C2" w14:textId="77777777" w:rsidR="0082524F" w:rsidRDefault="0082524F" w:rsidP="0082524F"/>
                          <w:p w14:paraId="6F6D3C45" w14:textId="77777777" w:rsidR="0082524F" w:rsidRDefault="0082524F" w:rsidP="0082524F"/>
                          <w:p w14:paraId="4CAE1721" w14:textId="77777777" w:rsidR="0082524F" w:rsidRDefault="0082524F" w:rsidP="0082524F"/>
                          <w:p w14:paraId="4DBA34C3" w14:textId="77777777" w:rsidR="0082524F" w:rsidRDefault="0082524F" w:rsidP="0082524F"/>
                          <w:p w14:paraId="7B870CA1" w14:textId="77777777" w:rsidR="0082524F" w:rsidRDefault="0082524F" w:rsidP="0082524F"/>
                          <w:p w14:paraId="06FC7CFE" w14:textId="77777777" w:rsidR="0082524F" w:rsidRDefault="0082524F" w:rsidP="0082524F"/>
                          <w:p w14:paraId="1F53E388" w14:textId="77777777" w:rsidR="0082524F" w:rsidRDefault="0082524F" w:rsidP="0082524F"/>
                          <w:p w14:paraId="704CA847" w14:textId="77777777" w:rsidR="0082524F" w:rsidRDefault="0082524F" w:rsidP="0082524F"/>
                          <w:p w14:paraId="47E09DC2" w14:textId="77777777" w:rsidR="0082524F" w:rsidRDefault="0082524F" w:rsidP="0082524F"/>
                          <w:p w14:paraId="0F10FFF5" w14:textId="77777777" w:rsidR="0082524F" w:rsidRDefault="0082524F" w:rsidP="0082524F"/>
                          <w:p w14:paraId="1A3823BC" w14:textId="77777777" w:rsidR="0082524F" w:rsidRDefault="0082524F" w:rsidP="0082524F"/>
                          <w:p w14:paraId="76BFB2F1" w14:textId="77777777" w:rsidR="0082524F" w:rsidRDefault="0082524F" w:rsidP="0082524F"/>
                          <w:p w14:paraId="3340CAFA" w14:textId="77777777" w:rsidR="0082524F" w:rsidRDefault="0082524F" w:rsidP="0082524F"/>
                          <w:p w14:paraId="57B7A35F" w14:textId="77777777" w:rsidR="0082524F" w:rsidRDefault="0082524F" w:rsidP="0082524F"/>
                          <w:p w14:paraId="3B036973" w14:textId="77777777" w:rsidR="0082524F" w:rsidRDefault="0082524F" w:rsidP="0082524F"/>
                          <w:p w14:paraId="0CF136E0" w14:textId="77777777" w:rsidR="0082524F" w:rsidRDefault="0082524F" w:rsidP="0082524F"/>
                          <w:p w14:paraId="1CD2D78A" w14:textId="77777777" w:rsidR="0082524F" w:rsidRDefault="0082524F" w:rsidP="0082524F"/>
                          <w:p w14:paraId="5FA38A65" w14:textId="77777777" w:rsidR="0082524F" w:rsidRDefault="0082524F" w:rsidP="0082524F">
                            <w:r>
                              <w:t>.</w:t>
                            </w:r>
                          </w:p>
                          <w:p w14:paraId="2001268D" w14:textId="77777777" w:rsidR="0082524F" w:rsidRDefault="0082524F" w:rsidP="0082524F"/>
                          <w:p w14:paraId="6730AB3D" w14:textId="77777777" w:rsidR="0082524F" w:rsidRDefault="0082524F" w:rsidP="0082524F"/>
                          <w:p w14:paraId="51262FF5" w14:textId="77777777" w:rsidR="0082524F" w:rsidRDefault="0082524F" w:rsidP="0082524F"/>
                          <w:p w14:paraId="410A99F4" w14:textId="77777777" w:rsidR="0082524F" w:rsidRDefault="0082524F" w:rsidP="0082524F"/>
                          <w:p w14:paraId="4EC0F836" w14:textId="77777777" w:rsidR="0082524F" w:rsidRDefault="0082524F" w:rsidP="0082524F"/>
                          <w:p w14:paraId="5BFF0FE6" w14:textId="77777777" w:rsidR="0082524F" w:rsidRDefault="0082524F" w:rsidP="0082524F"/>
                          <w:p w14:paraId="6311D40D" w14:textId="77777777" w:rsidR="0082524F" w:rsidRDefault="0082524F" w:rsidP="0082524F"/>
                          <w:p w14:paraId="3E00ED56" w14:textId="77777777" w:rsidR="0082524F" w:rsidRDefault="0082524F" w:rsidP="0082524F"/>
                          <w:p w14:paraId="449DC453" w14:textId="77777777" w:rsidR="0082524F" w:rsidRDefault="0082524F" w:rsidP="0082524F"/>
                          <w:p w14:paraId="738173F3" w14:textId="77777777" w:rsidR="0082524F" w:rsidRDefault="0082524F" w:rsidP="0082524F"/>
                          <w:p w14:paraId="484A1C46" w14:textId="77777777" w:rsidR="0082524F" w:rsidRDefault="0082524F" w:rsidP="0082524F"/>
                        </w:txbxContent>
                      </wps:txbx>
                      <wps:bodyPr vert="horz" wrap="square" lIns="91440" tIns="45720" rIns="91440" bIns="45720" anchor="t" anchorCtr="0" compatLnSpc="0">
                        <a:noAutofit/>
                      </wps:bodyPr>
                    </wps:wsp>
                  </a:graphicData>
                </a:graphic>
              </wp:anchor>
            </w:drawing>
          </mc:Choice>
          <mc:Fallback>
            <w:pict>
              <v:shapetype w14:anchorId="313974E6" id="_x0000_t202" coordsize="21600,21600" o:spt="202" path="m,l,21600r21600,l21600,xe">
                <v:stroke joinstyle="miter"/>
                <v:path gradientshapeok="t" o:connecttype="rect"/>
              </v:shapetype>
              <v:shape id="Zone de texte 1" o:spid="_x0000_s1026" type="#_x0000_t202" style="position:absolute;margin-left:503.85pt;margin-top:12.5pt;width:6.7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" stroked="f">
                <v:textbox>
                  <w:txbxContent>
                    <w:p w14:paraId="4C226809" w14:textId="77777777" w:rsidR="0082524F" w:rsidRDefault="0082524F" w:rsidP="0082524F"/>
                    <w:p w14:paraId="5EFE11BC" w14:textId="77777777" w:rsidR="0082524F" w:rsidRDefault="0082524F" w:rsidP="0082524F"/>
                    <w:p w14:paraId="53FB4BC9" w14:textId="77777777" w:rsidR="0082524F" w:rsidRDefault="0082524F" w:rsidP="0082524F"/>
                    <w:p w14:paraId="6A974CD6" w14:textId="77777777" w:rsidR="0082524F" w:rsidRDefault="0082524F" w:rsidP="0082524F"/>
                    <w:p w14:paraId="496BA062" w14:textId="77777777" w:rsidR="0082524F" w:rsidRDefault="0082524F" w:rsidP="0082524F"/>
                    <w:p w14:paraId="40F4A5FF" w14:textId="77777777" w:rsidR="0082524F" w:rsidRDefault="0082524F" w:rsidP="0082524F"/>
                    <w:p w14:paraId="0490EBAD" w14:textId="77777777" w:rsidR="0082524F" w:rsidRDefault="0082524F" w:rsidP="0082524F"/>
                    <w:p w14:paraId="46ADFCA0" w14:textId="77777777" w:rsidR="0082524F" w:rsidRDefault="0082524F" w:rsidP="0082524F"/>
                    <w:p w14:paraId="1BC1697C" w14:textId="77777777" w:rsidR="0082524F" w:rsidRDefault="0082524F" w:rsidP="0082524F"/>
                    <w:p w14:paraId="65F867FA" w14:textId="77777777" w:rsidR="0082524F" w:rsidRDefault="0082524F" w:rsidP="0082524F"/>
                    <w:p w14:paraId="05B9C8ED" w14:textId="77777777" w:rsidR="0082524F" w:rsidRDefault="0082524F" w:rsidP="0082524F"/>
                    <w:p w14:paraId="435DDD2D" w14:textId="77777777" w:rsidR="0082524F" w:rsidRDefault="0082524F" w:rsidP="0082524F"/>
                    <w:p w14:paraId="02FAE037" w14:textId="77777777" w:rsidR="0082524F" w:rsidRDefault="0082524F" w:rsidP="0082524F"/>
                    <w:p w14:paraId="6D7861CA" w14:textId="77777777" w:rsidR="0082524F" w:rsidRDefault="0082524F" w:rsidP="0082524F"/>
                    <w:p w14:paraId="3E4C6AFC" w14:textId="77777777" w:rsidR="0082524F" w:rsidRDefault="0082524F" w:rsidP="0082524F"/>
                    <w:p w14:paraId="14B125FC" w14:textId="77777777" w:rsidR="0082524F" w:rsidRDefault="0082524F" w:rsidP="0082524F"/>
                    <w:p w14:paraId="6B0ADF41" w14:textId="77777777" w:rsidR="0082524F" w:rsidRDefault="0082524F" w:rsidP="0082524F"/>
                    <w:p w14:paraId="1B23AEFC" w14:textId="77777777" w:rsidR="0082524F" w:rsidRDefault="0082524F" w:rsidP="0082524F"/>
                    <w:p w14:paraId="42FCC274" w14:textId="77777777" w:rsidR="0082524F" w:rsidRDefault="0082524F" w:rsidP="0082524F"/>
                    <w:p w14:paraId="75BCABDD" w14:textId="77777777" w:rsidR="0082524F" w:rsidRDefault="0082524F" w:rsidP="0082524F"/>
                    <w:p w14:paraId="621A2150" w14:textId="77777777" w:rsidR="0082524F" w:rsidRDefault="0082524F" w:rsidP="0082524F"/>
                    <w:p w14:paraId="1F7CE6C9" w14:textId="77777777" w:rsidR="0082524F" w:rsidRDefault="0082524F" w:rsidP="0082524F"/>
                    <w:p w14:paraId="15AE7601" w14:textId="77777777" w:rsidR="0082524F" w:rsidRDefault="0082524F" w:rsidP="0082524F"/>
                    <w:p w14:paraId="60F1B4B1" w14:textId="77777777" w:rsidR="0082524F" w:rsidRDefault="0082524F" w:rsidP="0082524F"/>
                    <w:p w14:paraId="33ADCA36" w14:textId="77777777" w:rsidR="0082524F" w:rsidRDefault="0082524F" w:rsidP="0082524F"/>
                    <w:p w14:paraId="2D334047" w14:textId="77777777" w:rsidR="0082524F" w:rsidRDefault="0082524F" w:rsidP="0082524F"/>
                    <w:p w14:paraId="2235A249" w14:textId="77777777" w:rsidR="0082524F" w:rsidRDefault="0082524F" w:rsidP="0082524F"/>
                    <w:p w14:paraId="7E9F90B9" w14:textId="77777777" w:rsidR="0082524F" w:rsidRDefault="0082524F" w:rsidP="0082524F"/>
                    <w:p w14:paraId="4A8010FA" w14:textId="77777777" w:rsidR="0082524F" w:rsidRDefault="0082524F" w:rsidP="0082524F"/>
                    <w:p w14:paraId="2E1825C2" w14:textId="77777777" w:rsidR="0082524F" w:rsidRDefault="0082524F" w:rsidP="0082524F"/>
                    <w:p w14:paraId="6F6D3C45" w14:textId="77777777" w:rsidR="0082524F" w:rsidRDefault="0082524F" w:rsidP="0082524F"/>
                    <w:p w14:paraId="4CAE1721" w14:textId="77777777" w:rsidR="0082524F" w:rsidRDefault="0082524F" w:rsidP="0082524F"/>
                    <w:p w14:paraId="4DBA34C3" w14:textId="77777777" w:rsidR="0082524F" w:rsidRDefault="0082524F" w:rsidP="0082524F"/>
                    <w:p w14:paraId="7B870CA1" w14:textId="77777777" w:rsidR="0082524F" w:rsidRDefault="0082524F" w:rsidP="0082524F"/>
                    <w:p w14:paraId="06FC7CFE" w14:textId="77777777" w:rsidR="0082524F" w:rsidRDefault="0082524F" w:rsidP="0082524F"/>
                    <w:p w14:paraId="1F53E388" w14:textId="77777777" w:rsidR="0082524F" w:rsidRDefault="0082524F" w:rsidP="0082524F"/>
                    <w:p w14:paraId="704CA847" w14:textId="77777777" w:rsidR="0082524F" w:rsidRDefault="0082524F" w:rsidP="0082524F"/>
                    <w:p w14:paraId="47E09DC2" w14:textId="77777777" w:rsidR="0082524F" w:rsidRDefault="0082524F" w:rsidP="0082524F"/>
                    <w:p w14:paraId="0F10FFF5" w14:textId="77777777" w:rsidR="0082524F" w:rsidRDefault="0082524F" w:rsidP="0082524F"/>
                    <w:p w14:paraId="1A3823BC" w14:textId="77777777" w:rsidR="0082524F" w:rsidRDefault="0082524F" w:rsidP="0082524F"/>
                    <w:p w14:paraId="76BFB2F1" w14:textId="77777777" w:rsidR="0082524F" w:rsidRDefault="0082524F" w:rsidP="0082524F"/>
                    <w:p w14:paraId="3340CAFA" w14:textId="77777777" w:rsidR="0082524F" w:rsidRDefault="0082524F" w:rsidP="0082524F"/>
                    <w:p w14:paraId="57B7A35F" w14:textId="77777777" w:rsidR="0082524F" w:rsidRDefault="0082524F" w:rsidP="0082524F"/>
                    <w:p w14:paraId="3B036973" w14:textId="77777777" w:rsidR="0082524F" w:rsidRDefault="0082524F" w:rsidP="0082524F"/>
                    <w:p w14:paraId="0CF136E0" w14:textId="77777777" w:rsidR="0082524F" w:rsidRDefault="0082524F" w:rsidP="0082524F"/>
                    <w:p w14:paraId="1CD2D78A" w14:textId="77777777" w:rsidR="0082524F" w:rsidRDefault="0082524F" w:rsidP="0082524F"/>
                    <w:p w14:paraId="5FA38A65" w14:textId="77777777" w:rsidR="0082524F" w:rsidRDefault="0082524F" w:rsidP="0082524F">
                      <w:r>
                        <w:t>.</w:t>
                      </w:r>
                    </w:p>
                    <w:p w14:paraId="2001268D" w14:textId="77777777" w:rsidR="0082524F" w:rsidRDefault="0082524F" w:rsidP="0082524F"/>
                    <w:p w14:paraId="6730AB3D" w14:textId="77777777" w:rsidR="0082524F" w:rsidRDefault="0082524F" w:rsidP="0082524F"/>
                    <w:p w14:paraId="51262FF5" w14:textId="77777777" w:rsidR="0082524F" w:rsidRDefault="0082524F" w:rsidP="0082524F"/>
                    <w:p w14:paraId="410A99F4" w14:textId="77777777" w:rsidR="0082524F" w:rsidRDefault="0082524F" w:rsidP="0082524F"/>
                    <w:p w14:paraId="4EC0F836" w14:textId="77777777" w:rsidR="0082524F" w:rsidRDefault="0082524F" w:rsidP="0082524F"/>
                    <w:p w14:paraId="5BFF0FE6" w14:textId="77777777" w:rsidR="0082524F" w:rsidRDefault="0082524F" w:rsidP="0082524F"/>
                    <w:p w14:paraId="6311D40D" w14:textId="77777777" w:rsidR="0082524F" w:rsidRDefault="0082524F" w:rsidP="0082524F"/>
                    <w:p w14:paraId="3E00ED56" w14:textId="77777777" w:rsidR="0082524F" w:rsidRDefault="0082524F" w:rsidP="0082524F"/>
                    <w:p w14:paraId="449DC453" w14:textId="77777777" w:rsidR="0082524F" w:rsidRDefault="0082524F" w:rsidP="0082524F"/>
                    <w:p w14:paraId="738173F3" w14:textId="77777777" w:rsidR="0082524F" w:rsidRDefault="0082524F" w:rsidP="0082524F"/>
                    <w:p w14:paraId="484A1C46" w14:textId="77777777" w:rsidR="0082524F" w:rsidRDefault="0082524F" w:rsidP="0082524F"/>
                  </w:txbxContent>
                </v:textbox>
              </v:shape>
            </w:pict>
          </mc:Fallback>
        </mc:AlternateContent>
      </w:r>
      <w:r>
        <w:rPr>
          <w:rFonts w:ascii="Times New Roman" w:hAnsi="Times New Roman"/>
          <w:b/>
        </w:rPr>
        <w:t xml:space="preserve">        </w:t>
      </w:r>
      <w:r>
        <w:rPr>
          <w:rFonts w:ascii="Times New Roman" w:hAnsi="Times New Roman"/>
          <w:b/>
          <w:u w:val="single"/>
        </w:rPr>
        <w:t>Yéhia Bouya TANDINA</w:t>
      </w:r>
    </w:p>
    <w:p w14:paraId="10E2E2B6" w14:textId="2F863BDF" w:rsidR="0082524F" w:rsidRDefault="0082524F" w:rsidP="0082524F">
      <w:pPr>
        <w:spacing w:after="0"/>
        <w:rPr>
          <w:rFonts w:ascii="Times New Roman" w:hAnsi="Times New Roman"/>
          <w:sz w:val="20"/>
        </w:rPr>
      </w:pPr>
      <w:r>
        <w:rPr>
          <w:rFonts w:ascii="Times New Roman" w:hAnsi="Times New Roman"/>
          <w:sz w:val="20"/>
        </w:rPr>
        <w:t xml:space="preserve">                                                                                                         Chevalier de l’Ordre National</w:t>
      </w:r>
    </w:p>
    <w:p w14:paraId="4851C341" w14:textId="77777777" w:rsidR="0082524F" w:rsidRDefault="0082524F" w:rsidP="0082524F">
      <w:pPr>
        <w:spacing w:after="0"/>
        <w:rPr>
          <w:rFonts w:ascii="Times New Roman" w:hAnsi="Times New Roman"/>
          <w:sz w:val="20"/>
        </w:rPr>
      </w:pPr>
    </w:p>
    <w:p w14:paraId="6DA4384B" w14:textId="77777777" w:rsidR="0082524F" w:rsidRPr="0082524F" w:rsidRDefault="0082524F" w:rsidP="0082524F">
      <w:pPr>
        <w:spacing w:after="0"/>
        <w:rPr>
          <w:rFonts w:ascii="Times New Roman" w:hAnsi="Times New Roman"/>
          <w:sz w:val="20"/>
        </w:rPr>
      </w:pPr>
    </w:p>
    <w:sectPr w:rsidR="0082524F" w:rsidRPr="008252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BB35" w14:textId="77777777" w:rsidR="00F727B5" w:rsidRDefault="00F727B5" w:rsidP="0082524F">
      <w:pPr>
        <w:spacing w:after="0"/>
      </w:pPr>
      <w:r>
        <w:separator/>
      </w:r>
    </w:p>
  </w:endnote>
  <w:endnote w:type="continuationSeparator" w:id="0">
    <w:p w14:paraId="6D698952" w14:textId="77777777" w:rsidR="00F727B5" w:rsidRDefault="00F727B5" w:rsidP="008252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7235" w14:textId="77777777" w:rsidR="00F727B5" w:rsidRDefault="00F727B5" w:rsidP="0082524F">
      <w:pPr>
        <w:spacing w:after="0"/>
      </w:pPr>
      <w:r>
        <w:separator/>
      </w:r>
    </w:p>
  </w:footnote>
  <w:footnote w:type="continuationSeparator" w:id="0">
    <w:p w14:paraId="1BB1191E" w14:textId="77777777" w:rsidR="00F727B5" w:rsidRDefault="00F727B5" w:rsidP="0082524F">
      <w:pPr>
        <w:spacing w:after="0"/>
      </w:pPr>
      <w:r>
        <w:continuationSeparator/>
      </w:r>
    </w:p>
  </w:footnote>
  <w:footnote w:id="1">
    <w:p w14:paraId="1B01B8AC" w14:textId="69F34BE3" w:rsidR="0082524F" w:rsidRDefault="0082524F" w:rsidP="0082524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6333"/>
    <w:multiLevelType w:val="multilevel"/>
    <w:tmpl w:val="BC603DA2"/>
    <w:styleLink w:val="LFO1"/>
    <w:lvl w:ilvl="0">
      <w:start w:val="1"/>
      <w:numFmt w:val="decimal"/>
      <w:pStyle w:val="Style4"/>
      <w:lvlText w:val="%1."/>
      <w:lvlJc w:val="left"/>
      <w:pPr>
        <w:ind w:left="1065" w:hanging="705"/>
      </w:pPr>
    </w:lvl>
    <w:lvl w:ilvl="1">
      <w:start w:val="1"/>
      <w:numFmt w:val="decimal"/>
      <w:lvlText w:val="%1.%2"/>
      <w:lvlJc w:val="left"/>
      <w:pPr>
        <w:ind w:left="780" w:hanging="42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 w15:restartNumberingAfterBreak="0">
    <w:nsid w:val="28FF07FF"/>
    <w:multiLevelType w:val="multilevel"/>
    <w:tmpl w:val="C8C26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860886">
    <w:abstractNumId w:val="0"/>
  </w:num>
  <w:num w:numId="2" w16cid:durableId="191917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4F"/>
    <w:rsid w:val="00124FC6"/>
    <w:rsid w:val="006364FF"/>
    <w:rsid w:val="0082524F"/>
    <w:rsid w:val="00F72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F82F"/>
  <w15:chartTrackingRefBased/>
  <w15:docId w15:val="{146F8335-9181-4227-A878-79F9770A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4F"/>
    <w:pPr>
      <w:suppressAutoHyphens/>
      <w:autoSpaceDN w:val="0"/>
      <w:spacing w:line="240" w:lineRule="auto"/>
      <w:textAlignment w:val="baseline"/>
    </w:pPr>
    <w:rPr>
      <w:rFonts w:ascii="Calibri" w:eastAsia="Calibri" w:hAnsi="Calibri" w:cs="Times New Roman"/>
      <w:kern w:val="0"/>
      <w:sz w:val="22"/>
      <w:szCs w:val="22"/>
      <w14:ligatures w14:val="none"/>
    </w:rPr>
  </w:style>
  <w:style w:type="paragraph" w:styleId="Titre1">
    <w:name w:val="heading 1"/>
    <w:basedOn w:val="Normal"/>
    <w:next w:val="Normal"/>
    <w:link w:val="Titre1Car"/>
    <w:uiPriority w:val="9"/>
    <w:qFormat/>
    <w:rsid w:val="00825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25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82524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524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524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52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2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2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2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24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2524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82524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524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524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52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2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2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24F"/>
    <w:rPr>
      <w:rFonts w:eastAsiaTheme="majorEastAsia" w:cstheme="majorBidi"/>
      <w:color w:val="272727" w:themeColor="text1" w:themeTint="D8"/>
    </w:rPr>
  </w:style>
  <w:style w:type="paragraph" w:styleId="Titre">
    <w:name w:val="Title"/>
    <w:basedOn w:val="Normal"/>
    <w:next w:val="Normal"/>
    <w:link w:val="TitreCar"/>
    <w:uiPriority w:val="10"/>
    <w:qFormat/>
    <w:rsid w:val="0082524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2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2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2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24F"/>
    <w:pPr>
      <w:spacing w:before="160"/>
      <w:jc w:val="center"/>
    </w:pPr>
    <w:rPr>
      <w:i/>
      <w:iCs/>
      <w:color w:val="404040" w:themeColor="text1" w:themeTint="BF"/>
    </w:rPr>
  </w:style>
  <w:style w:type="character" w:customStyle="1" w:styleId="CitationCar">
    <w:name w:val="Citation Car"/>
    <w:basedOn w:val="Policepardfaut"/>
    <w:link w:val="Citation"/>
    <w:uiPriority w:val="29"/>
    <w:rsid w:val="0082524F"/>
    <w:rPr>
      <w:i/>
      <w:iCs/>
      <w:color w:val="404040" w:themeColor="text1" w:themeTint="BF"/>
    </w:rPr>
  </w:style>
  <w:style w:type="paragraph" w:styleId="Paragraphedeliste">
    <w:name w:val="List Paragraph"/>
    <w:basedOn w:val="Normal"/>
    <w:qFormat/>
    <w:rsid w:val="0082524F"/>
    <w:pPr>
      <w:ind w:left="720"/>
      <w:contextualSpacing/>
    </w:pPr>
  </w:style>
  <w:style w:type="character" w:styleId="Accentuationintense">
    <w:name w:val="Intense Emphasis"/>
    <w:basedOn w:val="Policepardfaut"/>
    <w:uiPriority w:val="21"/>
    <w:qFormat/>
    <w:rsid w:val="0082524F"/>
    <w:rPr>
      <w:i/>
      <w:iCs/>
      <w:color w:val="2F5496" w:themeColor="accent1" w:themeShade="BF"/>
    </w:rPr>
  </w:style>
  <w:style w:type="paragraph" w:styleId="Citationintense">
    <w:name w:val="Intense Quote"/>
    <w:basedOn w:val="Normal"/>
    <w:next w:val="Normal"/>
    <w:link w:val="CitationintenseCar"/>
    <w:uiPriority w:val="30"/>
    <w:qFormat/>
    <w:rsid w:val="00825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524F"/>
    <w:rPr>
      <w:i/>
      <w:iCs/>
      <w:color w:val="2F5496" w:themeColor="accent1" w:themeShade="BF"/>
    </w:rPr>
  </w:style>
  <w:style w:type="character" w:styleId="Rfrenceintense">
    <w:name w:val="Intense Reference"/>
    <w:basedOn w:val="Policepardfaut"/>
    <w:uiPriority w:val="32"/>
    <w:qFormat/>
    <w:rsid w:val="0082524F"/>
    <w:rPr>
      <w:b/>
      <w:bCs/>
      <w:smallCaps/>
      <w:color w:val="2F5496" w:themeColor="accent1" w:themeShade="BF"/>
      <w:spacing w:val="5"/>
    </w:rPr>
  </w:style>
  <w:style w:type="paragraph" w:styleId="Notedebasdepage">
    <w:name w:val="footnote text"/>
    <w:basedOn w:val="Normal"/>
    <w:link w:val="NotedebasdepageCar"/>
    <w:rsid w:val="0082524F"/>
    <w:pPr>
      <w:spacing w:after="0"/>
      <w:jc w:val="both"/>
    </w:pPr>
    <w:rPr>
      <w:rFonts w:ascii="Times New Roman" w:eastAsia="Times New Roman" w:hAnsi="Times New Roman"/>
      <w:sz w:val="20"/>
      <w:szCs w:val="20"/>
      <w:lang w:val="es-ES_tradnl" w:eastAsia="fr-FR"/>
    </w:rPr>
  </w:style>
  <w:style w:type="character" w:customStyle="1" w:styleId="NotedebasdepageCar">
    <w:name w:val="Note de bas de page Car"/>
    <w:basedOn w:val="Policepardfaut"/>
    <w:link w:val="Notedebasdepage"/>
    <w:rsid w:val="0082524F"/>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rsid w:val="0082524F"/>
    <w:rPr>
      <w:rFonts w:cs="Times New Roman"/>
      <w:position w:val="0"/>
      <w:vertAlign w:val="superscript"/>
    </w:rPr>
  </w:style>
  <w:style w:type="paragraph" w:customStyle="1" w:styleId="Style4">
    <w:name w:val="Style4"/>
    <w:basedOn w:val="Paragraphedeliste"/>
    <w:rsid w:val="0082524F"/>
    <w:pPr>
      <w:numPr>
        <w:numId w:val="1"/>
      </w:numPr>
      <w:contextualSpacing w:val="0"/>
      <w:jc w:val="center"/>
      <w:outlineLvl w:val="1"/>
    </w:pPr>
    <w:rPr>
      <w:rFonts w:ascii="Times New Roman" w:hAnsi="Times New Roman"/>
      <w:b/>
      <w:sz w:val="36"/>
      <w:szCs w:val="36"/>
    </w:rPr>
  </w:style>
  <w:style w:type="numbering" w:customStyle="1" w:styleId="LFO1">
    <w:name w:val="LFO1"/>
    <w:basedOn w:val="Aucuneliste"/>
    <w:rsid w:val="0082524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5204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1</cp:revision>
  <cp:lastPrinted>2026-04-10T11:53:00Z</cp:lastPrinted>
  <dcterms:created xsi:type="dcterms:W3CDTF">2026-04-10T11:49:00Z</dcterms:created>
  <dcterms:modified xsi:type="dcterms:W3CDTF">2026-04-10T12:05:00Z</dcterms:modified>
</cp:coreProperties>
</file>