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6E2A" w14:textId="58E599DC"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Ministère des Transports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Republique du Mali</w:t>
      </w:r>
    </w:p>
    <w:p w14:paraId="2969F961" w14:textId="6FF9DAA6"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et des Infrastructures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w:t>
      </w:r>
      <w:r w:rsidRPr="005D0D88">
        <w:rPr>
          <w:rFonts w:eastAsia="Times New Roman" w:cs="Times New Roman"/>
          <w:b/>
          <w:noProof/>
          <w:sz w:val="22"/>
          <w:szCs w:val="22"/>
        </w:rPr>
        <w:t>Un Peuple Un But Une Foi</w:t>
      </w:r>
    </w:p>
    <w:p w14:paraId="6190D9F3" w14:textId="17E48CA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 xml:space="preserve">**************************                            </w:t>
      </w:r>
      <w:r w:rsidR="005D0D88" w:rsidRPr="005D0D88">
        <w:rPr>
          <w:rFonts w:eastAsia="Times New Roman" w:cs="Times New Roman"/>
          <w:b/>
          <w:noProof/>
          <w:sz w:val="28"/>
          <w:szCs w:val="28"/>
        </w:rPr>
        <w:t xml:space="preserve">                   </w:t>
      </w:r>
      <w:r w:rsidRPr="005D0D88">
        <w:rPr>
          <w:rFonts w:eastAsia="Times New Roman" w:cs="Times New Roman"/>
          <w:b/>
          <w:noProof/>
          <w:sz w:val="28"/>
          <w:szCs w:val="28"/>
        </w:rPr>
        <w:t>****************</w:t>
      </w:r>
    </w:p>
    <w:p w14:paraId="0D063136"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Sécretariat Général</w:t>
      </w:r>
    </w:p>
    <w:p w14:paraId="419A8C08"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03E735AE" w14:textId="44C0AC15"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Direction Générale des Routes</w:t>
      </w:r>
    </w:p>
    <w:p w14:paraId="5C1A32A3" w14:textId="0CB7CAD9"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60FAD736" w14:textId="6C33378E"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Unité Nationale de Coordination</w:t>
      </w:r>
    </w:p>
    <w:p w14:paraId="13F4F27C" w14:textId="3ABBEE20"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121F1753" w14:textId="77777777" w:rsidR="009C389A" w:rsidRPr="005D0D88" w:rsidRDefault="009C389A" w:rsidP="009C389A">
      <w:pPr>
        <w:suppressAutoHyphens/>
        <w:jc w:val="both"/>
        <w:rPr>
          <w:rFonts w:eastAsia="Times New Roman" w:cs="Times New Roman"/>
          <w:b/>
          <w:sz w:val="28"/>
          <w:szCs w:val="28"/>
        </w:rPr>
      </w:pPr>
      <w:r w:rsidRPr="005D0D88">
        <w:rPr>
          <w:rFonts w:eastAsia="Times New Roman" w:cs="Times New Roman"/>
          <w:b/>
          <w:sz w:val="28"/>
          <w:szCs w:val="28"/>
        </w:rPr>
        <w:t>Projet d’Amélioration de l’Accessibilité Rurale (PAAR)</w:t>
      </w:r>
    </w:p>
    <w:p w14:paraId="5AA787F2" w14:textId="6AE593A3" w:rsidR="001B7174" w:rsidRPr="005D0D88" w:rsidRDefault="0041368B" w:rsidP="009173A3">
      <w:pPr>
        <w:suppressAutoHyphens/>
        <w:jc w:val="both"/>
        <w:rPr>
          <w:rFonts w:eastAsia="Times New Roman" w:cs="Times New Roman"/>
          <w:b/>
          <w:sz w:val="52"/>
          <w:szCs w:val="52"/>
        </w:rPr>
      </w:pPr>
      <w:r w:rsidRPr="005D0D88">
        <w:rPr>
          <w:rFonts w:eastAsia="Times New Roman" w:cs="Times New Roman"/>
          <w:b/>
          <w:bCs/>
          <w:noProof/>
        </w:rPr>
        <w:drawing>
          <wp:inline distT="0" distB="0" distL="0" distR="0" wp14:anchorId="2B34284A" wp14:editId="4DD749FC">
            <wp:extent cx="1690133" cy="1009816"/>
            <wp:effectExtent l="0" t="0" r="5715" b="0"/>
            <wp:docPr id="1" name="Image 1" descr="C:\Users\Patricia\Desktop\COURRIER1\DOSSIER PISTES RURALES\Logo UNC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COURRIER1\DOSSIER PISTES RURALES\Logo UNC Final.jpg"/>
                    <pic:cNvPicPr>
                      <a:picLocks noChangeAspect="1" noChangeArrowheads="1"/>
                    </pic:cNvPicPr>
                  </pic:nvPicPr>
                  <pic:blipFill>
                    <a:blip r:embed="rId7" cstate="print"/>
                    <a:srcRect/>
                    <a:stretch>
                      <a:fillRect/>
                    </a:stretch>
                  </pic:blipFill>
                  <pic:spPr bwMode="auto">
                    <a:xfrm>
                      <a:off x="0" y="0"/>
                      <a:ext cx="1703417" cy="1017753"/>
                    </a:xfrm>
                    <a:prstGeom prst="rect">
                      <a:avLst/>
                    </a:prstGeom>
                    <a:noFill/>
                    <a:ln w="9525">
                      <a:noFill/>
                      <a:miter lim="800000"/>
                      <a:headEnd/>
                      <a:tailEnd/>
                    </a:ln>
                  </pic:spPr>
                </pic:pic>
              </a:graphicData>
            </a:graphic>
          </wp:inline>
        </w:drawing>
      </w:r>
    </w:p>
    <w:p w14:paraId="382842A4" w14:textId="2562CEE2" w:rsidR="009C489E" w:rsidRPr="005D0D88" w:rsidRDefault="009C489E" w:rsidP="009173A3">
      <w:pPr>
        <w:suppressAutoHyphens/>
        <w:jc w:val="both"/>
        <w:rPr>
          <w:rFonts w:eastAsia="Times New Roman" w:cs="Times New Roman"/>
          <w:b/>
          <w:spacing w:val="-2"/>
          <w:sz w:val="20"/>
          <w:szCs w:val="20"/>
          <w:u w:val="single"/>
          <w:lang w:eastAsia="en-US"/>
        </w:rPr>
      </w:pPr>
      <w:r w:rsidRPr="005D0D88">
        <w:rPr>
          <w:rFonts w:eastAsia="Times New Roman" w:cs="Times New Roman"/>
          <w:b/>
          <w:spacing w:val="-2"/>
          <w:sz w:val="20"/>
          <w:szCs w:val="20"/>
          <w:u w:val="single"/>
          <w:lang w:eastAsia="en-US"/>
        </w:rPr>
        <w:t>SELECTION DE CONSULTANTS PAR LES EMPRUNTEURS DE LA BANQUE MONDIALE</w:t>
      </w:r>
    </w:p>
    <w:p w14:paraId="7B9157AE" w14:textId="77777777" w:rsidR="009C489E" w:rsidRPr="005D0D88" w:rsidRDefault="009C489E" w:rsidP="009173A3">
      <w:pPr>
        <w:suppressAutoHyphens/>
        <w:jc w:val="both"/>
        <w:rPr>
          <w:rFonts w:eastAsia="Times New Roman" w:cs="Times New Roman"/>
          <w:spacing w:val="-2"/>
          <w:sz w:val="22"/>
          <w:szCs w:val="20"/>
          <w:lang w:eastAsia="en-US"/>
        </w:rPr>
      </w:pPr>
    </w:p>
    <w:p w14:paraId="11DDA0B4" w14:textId="77777777" w:rsidR="009C489E" w:rsidRPr="005D0D88" w:rsidRDefault="009C489E" w:rsidP="00117BA8">
      <w:pPr>
        <w:spacing w:line="276" w:lineRule="auto"/>
        <w:jc w:val="both"/>
        <w:rPr>
          <w:rFonts w:eastAsia="Times New Roman" w:cs="Times New Roman"/>
          <w:b/>
          <w:spacing w:val="-2"/>
          <w:sz w:val="28"/>
          <w:szCs w:val="28"/>
          <w:lang w:eastAsia="en-US"/>
        </w:rPr>
      </w:pPr>
      <w:r w:rsidRPr="005D0D88">
        <w:rPr>
          <w:rFonts w:eastAsia="Times New Roman" w:cs="Times New Roman"/>
          <w:b/>
          <w:spacing w:val="-2"/>
          <w:sz w:val="28"/>
          <w:szCs w:val="28"/>
          <w:lang w:eastAsia="en-US"/>
        </w:rPr>
        <w:t>Projet d’Amélioration de l’Accessibilité Rurale (PAAR)</w:t>
      </w:r>
    </w:p>
    <w:p w14:paraId="7E6AE1D8" w14:textId="6C8E2225" w:rsidR="009C489E" w:rsidRPr="005D0D88" w:rsidRDefault="00117BA8" w:rsidP="00117BA8">
      <w:pPr>
        <w:spacing w:line="360" w:lineRule="auto"/>
        <w:jc w:val="both"/>
        <w:rPr>
          <w:rFonts w:eastAsia="Times New Roman" w:cs="Times New Roman"/>
          <w:spacing w:val="-2"/>
          <w:sz w:val="22"/>
          <w:szCs w:val="20"/>
          <w:lang w:eastAsia="en-US"/>
        </w:rPr>
      </w:pPr>
      <w:r w:rsidRPr="005D0D88">
        <w:rPr>
          <w:rFonts w:cs="Times New Roman"/>
          <w:b/>
          <w:bCs/>
          <w:spacing w:val="-2"/>
          <w:szCs w:val="22"/>
        </w:rPr>
        <w:t>AMI N°0</w:t>
      </w:r>
      <w:r w:rsidR="008E214D" w:rsidRPr="005D0D88">
        <w:rPr>
          <w:rFonts w:cs="Times New Roman"/>
          <w:b/>
          <w:bCs/>
          <w:spacing w:val="-2"/>
          <w:szCs w:val="22"/>
        </w:rPr>
        <w:t>1</w:t>
      </w:r>
      <w:r w:rsidRPr="005D0D88">
        <w:rPr>
          <w:rFonts w:cs="Times New Roman"/>
          <w:b/>
          <w:bCs/>
          <w:spacing w:val="-2"/>
          <w:szCs w:val="22"/>
        </w:rPr>
        <w:t>/UNC-PAAR/202</w:t>
      </w:r>
      <w:r w:rsidR="004471E3">
        <w:rPr>
          <w:rFonts w:cs="Times New Roman"/>
          <w:b/>
          <w:bCs/>
          <w:spacing w:val="-2"/>
          <w:szCs w:val="22"/>
        </w:rPr>
        <w:t>4</w:t>
      </w:r>
    </w:p>
    <w:p w14:paraId="65670E1B" w14:textId="35F49339" w:rsidR="009C489E" w:rsidRPr="005D0D88" w:rsidRDefault="008E214D" w:rsidP="009173A3">
      <w:pPr>
        <w:suppressAutoHyphens/>
        <w:jc w:val="both"/>
        <w:rPr>
          <w:rFonts w:eastAsia="Times New Roman" w:cs="Times New Roman"/>
          <w:b/>
          <w:bCs/>
          <w:spacing w:val="-2"/>
          <w:sz w:val="22"/>
          <w:szCs w:val="22"/>
          <w:lang w:eastAsia="en-US"/>
        </w:rPr>
      </w:pPr>
      <w:r w:rsidRPr="005D0D88">
        <w:rPr>
          <w:rFonts w:eastAsia="Times New Roman" w:cs="Times New Roman"/>
          <w:b/>
          <w:bCs/>
          <w:spacing w:val="-2"/>
          <w:sz w:val="22"/>
          <w:szCs w:val="22"/>
          <w:lang w:eastAsia="en-US"/>
        </w:rPr>
        <w:t>Service de consultant (Consultant Individuel</w:t>
      </w:r>
      <w:r w:rsidR="005D0D88" w:rsidRPr="005D0D88">
        <w:rPr>
          <w:rFonts w:eastAsia="Times New Roman" w:cs="Times New Roman"/>
          <w:b/>
          <w:bCs/>
          <w:spacing w:val="-2"/>
          <w:sz w:val="22"/>
          <w:szCs w:val="22"/>
          <w:lang w:eastAsia="en-US"/>
        </w:rPr>
        <w:t>)</w:t>
      </w:r>
      <w:r w:rsidRPr="005D0D88">
        <w:rPr>
          <w:rFonts w:eastAsia="Times New Roman" w:cs="Times New Roman"/>
          <w:b/>
          <w:bCs/>
          <w:spacing w:val="-2"/>
          <w:sz w:val="22"/>
          <w:szCs w:val="22"/>
          <w:lang w:eastAsia="en-US"/>
        </w:rPr>
        <w:t xml:space="preserve"> pour l'élaboration du rapport d'achèvement du Projet d'Amélioration de l'Accessibilité Rurale (PAAR)</w:t>
      </w:r>
      <w:r w:rsidR="00240280" w:rsidRPr="005D0D88">
        <w:rPr>
          <w:rFonts w:eastAsia="Times New Roman" w:cs="Times New Roman"/>
          <w:b/>
          <w:bCs/>
          <w:spacing w:val="-2"/>
          <w:sz w:val="22"/>
          <w:szCs w:val="22"/>
          <w:lang w:eastAsia="en-US"/>
        </w:rPr>
        <w:t>.</w:t>
      </w:r>
    </w:p>
    <w:p w14:paraId="1CC82474" w14:textId="77777777" w:rsidR="009C489E" w:rsidRPr="005D0D88" w:rsidRDefault="009C489E" w:rsidP="009173A3">
      <w:pPr>
        <w:suppressAutoHyphens/>
        <w:jc w:val="both"/>
        <w:rPr>
          <w:rFonts w:eastAsia="Times New Roman" w:cs="Times New Roman"/>
          <w:spacing w:val="-2"/>
          <w:sz w:val="22"/>
          <w:szCs w:val="22"/>
          <w:lang w:eastAsia="en-US"/>
        </w:rPr>
      </w:pPr>
    </w:p>
    <w:p w14:paraId="542DDF0C" w14:textId="77777777" w:rsidR="008E214D" w:rsidRPr="005D0D88" w:rsidRDefault="008E214D" w:rsidP="008E214D">
      <w:pPr>
        <w:tabs>
          <w:tab w:val="left" w:pos="3960"/>
        </w:tabs>
        <w:ind w:left="3960" w:hanging="3960"/>
        <w:jc w:val="both"/>
        <w:rPr>
          <w:rFonts w:cs="Times New Roman"/>
          <w:spacing w:val="-2"/>
          <w:sz w:val="22"/>
        </w:rPr>
      </w:pPr>
      <w:r w:rsidRPr="005D0D88">
        <w:rPr>
          <w:rFonts w:cs="Times New Roman"/>
          <w:spacing w:val="-2"/>
          <w:sz w:val="22"/>
        </w:rPr>
        <w:t>No Crédits : IDA 6124 – ML ; IDA 6940 – ML et D855 - ML</w:t>
      </w:r>
    </w:p>
    <w:p w14:paraId="7ED2A898" w14:textId="63689B1C" w:rsidR="008E214D" w:rsidRPr="005D0D88" w:rsidRDefault="008E214D" w:rsidP="008E214D">
      <w:pPr>
        <w:tabs>
          <w:tab w:val="left" w:pos="3960"/>
        </w:tabs>
        <w:ind w:left="3960" w:hanging="3960"/>
        <w:jc w:val="both"/>
        <w:rPr>
          <w:rFonts w:cs="Times New Roman"/>
          <w:b/>
        </w:rPr>
      </w:pPr>
      <w:r w:rsidRPr="005D0D88">
        <w:rPr>
          <w:rFonts w:cs="Times New Roman"/>
          <w:spacing w:val="-2"/>
          <w:sz w:val="22"/>
        </w:rPr>
        <w:t xml:space="preserve">Plan de Passation des marchés du </w:t>
      </w:r>
      <w:r w:rsidR="00BD758B" w:rsidRPr="00BD758B">
        <w:rPr>
          <w:rFonts w:cs="Times New Roman"/>
          <w:spacing w:val="-2"/>
          <w:sz w:val="22"/>
        </w:rPr>
        <w:t>06</w:t>
      </w:r>
      <w:r w:rsidRPr="00BD758B">
        <w:rPr>
          <w:rFonts w:cs="Times New Roman"/>
          <w:spacing w:val="-2"/>
          <w:sz w:val="22"/>
        </w:rPr>
        <w:t>/</w:t>
      </w:r>
      <w:r w:rsidR="00BD758B" w:rsidRPr="00BD758B">
        <w:rPr>
          <w:rFonts w:cs="Times New Roman"/>
          <w:spacing w:val="-2"/>
          <w:sz w:val="22"/>
        </w:rPr>
        <w:t>02</w:t>
      </w:r>
      <w:r w:rsidRPr="00BD758B">
        <w:rPr>
          <w:rFonts w:cs="Times New Roman"/>
          <w:spacing w:val="-2"/>
          <w:sz w:val="22"/>
        </w:rPr>
        <w:t>/202</w:t>
      </w:r>
      <w:r w:rsidR="00BD758B" w:rsidRPr="00BD758B">
        <w:rPr>
          <w:rFonts w:cs="Times New Roman"/>
          <w:spacing w:val="-2"/>
          <w:sz w:val="22"/>
        </w:rPr>
        <w:t>4</w:t>
      </w:r>
      <w:r w:rsidRPr="005D0D88">
        <w:rPr>
          <w:rFonts w:cs="Times New Roman"/>
          <w:spacing w:val="-2"/>
          <w:sz w:val="22"/>
        </w:rPr>
        <w:t>.</w:t>
      </w:r>
      <w:r w:rsidRPr="005D0D88">
        <w:rPr>
          <w:rFonts w:cs="Times New Roman"/>
          <w:b/>
          <w:spacing w:val="-2"/>
        </w:rPr>
        <w:t xml:space="preserve">                                                  </w:t>
      </w:r>
    </w:p>
    <w:p w14:paraId="729ADC3B" w14:textId="77777777" w:rsidR="008E214D" w:rsidRPr="005D0D88" w:rsidRDefault="008E214D" w:rsidP="008E214D">
      <w:pPr>
        <w:tabs>
          <w:tab w:val="left" w:pos="720"/>
          <w:tab w:val="right" w:leader="dot" w:pos="8640"/>
        </w:tabs>
        <w:jc w:val="both"/>
        <w:rPr>
          <w:rFonts w:cs="Times New Roman"/>
          <w:sz w:val="16"/>
          <w:szCs w:val="16"/>
        </w:rPr>
      </w:pPr>
    </w:p>
    <w:p w14:paraId="39FFBDF1" w14:textId="56019AF5" w:rsidR="008E214D" w:rsidRPr="005D0D88" w:rsidRDefault="008E214D" w:rsidP="008E214D">
      <w:pPr>
        <w:jc w:val="both"/>
        <w:rPr>
          <w:rFonts w:cs="Times New Roman"/>
        </w:rPr>
      </w:pPr>
      <w:r w:rsidRPr="005D0D88">
        <w:rPr>
          <w:rFonts w:cs="Times New Roman"/>
        </w:rPr>
        <w:t>Le Gouvernement du Mali, a obtenu de la Banque Mondiale un crédit destiné au financement des activités du Projet d’Amélioration de l’Accessibilité Rurale (PAAR) suivant les accords de financement initial n° 6124 – ML ; additionnel n°6940 – ML et un don n° D855 – ML d’un montant cumulé de 100 millions de dollars signés respectivement le 1</w:t>
      </w:r>
      <w:r w:rsidRPr="005D0D88">
        <w:rPr>
          <w:rFonts w:cs="Times New Roman"/>
          <w:vertAlign w:val="superscript"/>
        </w:rPr>
        <w:t>er</w:t>
      </w:r>
      <w:r w:rsidRPr="005D0D88">
        <w:rPr>
          <w:rFonts w:cs="Times New Roman"/>
        </w:rPr>
        <w:t xml:space="preserve"> Août 2017 et le 1</w:t>
      </w:r>
      <w:r w:rsidRPr="005D0D88">
        <w:rPr>
          <w:rFonts w:cs="Times New Roman"/>
          <w:vertAlign w:val="superscript"/>
        </w:rPr>
        <w:t>er</w:t>
      </w:r>
      <w:r w:rsidRPr="005D0D88">
        <w:rPr>
          <w:rFonts w:cs="Times New Roman"/>
        </w:rPr>
        <w:t xml:space="preserve"> Octobre 2021. Il a l’intention d’utiliser une partie du montant de ces fonds pour effectuer les paiements au titre du contrat relatif à </w:t>
      </w:r>
      <w:r w:rsidRPr="005D0D88">
        <w:rPr>
          <w:rFonts w:cs="Times New Roman"/>
          <w:b/>
          <w:bCs/>
          <w:spacing w:val="-2"/>
          <w:sz w:val="22"/>
          <w:szCs w:val="22"/>
        </w:rPr>
        <w:t xml:space="preserve">la sélection d’un Consultant Individuel </w:t>
      </w:r>
      <w:r w:rsidR="005D0D88" w:rsidRPr="005D0D88">
        <w:rPr>
          <w:rFonts w:cs="Times New Roman"/>
          <w:b/>
          <w:bCs/>
          <w:spacing w:val="-2"/>
          <w:sz w:val="22"/>
          <w:szCs w:val="22"/>
        </w:rPr>
        <w:t>pour l'élaboration du rapport d'achèvement du Projet d'Amélioration de l'Accessibilité Rurale (PAAR)</w:t>
      </w:r>
      <w:r w:rsidRPr="005D0D88">
        <w:rPr>
          <w:rFonts w:cs="Times New Roman"/>
          <w:b/>
          <w:bCs/>
          <w:spacing w:val="-2"/>
          <w:sz w:val="22"/>
          <w:szCs w:val="22"/>
        </w:rPr>
        <w:t>.</w:t>
      </w:r>
    </w:p>
    <w:p w14:paraId="23269FCB" w14:textId="77777777" w:rsidR="008E214D" w:rsidRPr="005D0D88" w:rsidRDefault="008E214D" w:rsidP="008E214D">
      <w:pPr>
        <w:ind w:right="72"/>
        <w:jc w:val="both"/>
        <w:rPr>
          <w:rFonts w:cs="Times New Roman"/>
          <w:sz w:val="16"/>
          <w:szCs w:val="16"/>
        </w:rPr>
      </w:pPr>
    </w:p>
    <w:p w14:paraId="1BCCEF09" w14:textId="0FE9816D" w:rsidR="008E214D" w:rsidRPr="005D0D88" w:rsidRDefault="005D0D88" w:rsidP="008E214D">
      <w:pPr>
        <w:ind w:right="72"/>
        <w:jc w:val="both"/>
        <w:rPr>
          <w:rFonts w:cs="Times New Roman"/>
          <w:b/>
        </w:rPr>
      </w:pPr>
      <w:r w:rsidRPr="005D0D88">
        <w:rPr>
          <w:rFonts w:cs="Times New Roman"/>
        </w:rPr>
        <w:t>L’objectif global de la mission est la rédaction du rapport d’achèvement du Projet d’Amélioration de l’Accessibilité Rurale (PAAR). Il s’agira pour le Consultant, d’évaluer la pertinence de la mise en œuvre du PAAR, voire l’atteinte des objectifs du projet et enfin de formuler des recommandations ou d’en tirer les leçons apprises.</w:t>
      </w:r>
    </w:p>
    <w:p w14:paraId="1FFB0044" w14:textId="77777777" w:rsidR="008E214D" w:rsidRPr="005D0D88" w:rsidRDefault="008E214D" w:rsidP="008E214D">
      <w:pPr>
        <w:ind w:right="72"/>
        <w:jc w:val="both"/>
        <w:rPr>
          <w:rFonts w:cs="Times New Roman"/>
        </w:rPr>
      </w:pPr>
    </w:p>
    <w:p w14:paraId="3BE2B4E0" w14:textId="77777777" w:rsidR="005D0D88" w:rsidRPr="005D0D88" w:rsidRDefault="005D0D88" w:rsidP="005D0D88">
      <w:pPr>
        <w:ind w:right="72"/>
        <w:jc w:val="both"/>
        <w:rPr>
          <w:rFonts w:cs="Times New Roman"/>
        </w:rPr>
      </w:pPr>
      <w:r w:rsidRPr="005D0D88">
        <w:rPr>
          <w:rFonts w:cs="Times New Roman"/>
        </w:rPr>
        <w:t>De façon spécifique, le Consultant devra pour l’ensemble du PAAR :</w:t>
      </w:r>
    </w:p>
    <w:p w14:paraId="0341BA2A" w14:textId="352F571E"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Évaluer et apprécier l’état d’exécution des activités du projet par agence d’exécution et par composante, y compris les principaux facteurs et événements relatifs à la Banque, à l'emprunteur, aux c</w:t>
      </w:r>
      <w:r w:rsidR="00BD758B">
        <w:rPr>
          <w:rFonts w:eastAsiaTheme="minorHAnsi"/>
        </w:rPr>
        <w:t>0</w:t>
      </w:r>
      <w:r w:rsidRPr="005D0D88">
        <w:rPr>
          <w:rFonts w:eastAsiaTheme="minorHAnsi"/>
        </w:rPr>
        <w:t>o-financiers, aux autres partenaires et à l'environnement extérieur pendant la préparation et la mise en œuvre, qui ont eu une incidence sur la performance et les résultats ;</w:t>
      </w:r>
    </w:p>
    <w:p w14:paraId="0B8F86FF" w14:textId="77777777"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lastRenderedPageBreak/>
        <w:t>Apprécier les changements induits par l’ensemble des actions menées par le projet, au sein (i) des agences d’exécution, (ii) des directions centrales et régionales, (iii) des autres structures et personnes formées et (iv) des bureaux d’études, des prestataires de services et des petites et moyennes entreprises en termes de bonne gouvernance et de renforcement des capacités ;</w:t>
      </w:r>
    </w:p>
    <w:p w14:paraId="1C3A9EC9" w14:textId="77777777"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Apprécier l’apport du projet dans la facilitation du transport en milieu rural et sa contribution à l’économie nationale ;</w:t>
      </w:r>
    </w:p>
    <w:p w14:paraId="0FEA4DB2" w14:textId="77777777"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Apprécier l’évolution des indicateurs de résultats et d’impacts du projet en rapport avec ceux déclinés dans la convention de financement ;</w:t>
      </w:r>
    </w:p>
    <w:p w14:paraId="2AB3513D" w14:textId="77777777"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Evaluer l’efficacité du dispositif de gestion, de coordination et de pilotage du projet mis en place en rapport avec les dispositions contenues dans les manuels d’exécution et de procédures administrative, financière et comptable ;</w:t>
      </w:r>
    </w:p>
    <w:p w14:paraId="3C404965" w14:textId="77777777"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Évaluer la performance de l’unité de projet au cours de la préparation et de la mise en œuvre de l'opération, en mettant l'accent sur les enseignements tirés qui pourraient être utiles à l'avenir ;</w:t>
      </w:r>
    </w:p>
    <w:p w14:paraId="094C7AAE" w14:textId="77777777"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Evaluer l’impact du Projet sur le renforcement des capacités de gestion, de planification, de programmation, de contrôle et de régulation des administrations et des opérateurs du secteur des transports ;</w:t>
      </w:r>
    </w:p>
    <w:p w14:paraId="560B0BDF" w14:textId="77777777"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Réaliser une analyse socioéconomique sur la base des éléments mis en œuvre par le projet et comparer cette dernière à celle qui a été réalisée lors de la préparation du projet ;</w:t>
      </w:r>
    </w:p>
    <w:p w14:paraId="00D35FBA" w14:textId="5157289D" w:rsidR="005D0D88" w:rsidRPr="005D0D88" w:rsidRDefault="005D0D88" w:rsidP="005D0D88">
      <w:pPr>
        <w:pStyle w:val="Paragraphedeliste"/>
        <w:numPr>
          <w:ilvl w:val="0"/>
          <w:numId w:val="11"/>
        </w:numPr>
        <w:ind w:right="72"/>
        <w:jc w:val="both"/>
        <w:rPr>
          <w:rFonts w:eastAsiaTheme="minorHAnsi"/>
        </w:rPr>
      </w:pPr>
      <w:r w:rsidRPr="005D0D88">
        <w:rPr>
          <w:rFonts w:eastAsiaTheme="minorHAnsi"/>
        </w:rPr>
        <w:t>Tirer les leçons (réussites, lacunes) de la mise en œuvre du projet au niveau national et régional ;</w:t>
      </w:r>
    </w:p>
    <w:p w14:paraId="7363341D" w14:textId="480C23C2" w:rsidR="008E214D" w:rsidRPr="005D0D88" w:rsidRDefault="005D0D88" w:rsidP="005D0D88">
      <w:pPr>
        <w:pStyle w:val="Paragraphedeliste"/>
        <w:numPr>
          <w:ilvl w:val="0"/>
          <w:numId w:val="11"/>
        </w:numPr>
        <w:ind w:right="72"/>
        <w:jc w:val="both"/>
      </w:pPr>
      <w:r w:rsidRPr="005D0D88">
        <w:rPr>
          <w:rFonts w:eastAsiaTheme="minorHAnsi"/>
        </w:rPr>
        <w:t>Formuler des recommandations pertinentes pour la consolidation des acquis dans le cadre de la mise en œuvre de projets futurs.</w:t>
      </w:r>
    </w:p>
    <w:p w14:paraId="3FD32523" w14:textId="77777777" w:rsidR="008E214D" w:rsidRPr="005D0D88" w:rsidRDefault="008E214D" w:rsidP="008E214D">
      <w:pPr>
        <w:ind w:right="72"/>
        <w:jc w:val="both"/>
        <w:rPr>
          <w:rFonts w:cs="Times New Roman"/>
        </w:rPr>
      </w:pPr>
    </w:p>
    <w:p w14:paraId="22447912" w14:textId="77777777" w:rsidR="008E214D" w:rsidRPr="005D0D88" w:rsidRDefault="008E214D" w:rsidP="008E214D">
      <w:pPr>
        <w:ind w:right="72"/>
        <w:jc w:val="both"/>
        <w:rPr>
          <w:rFonts w:cs="Times New Roman"/>
        </w:rPr>
      </w:pPr>
      <w:r w:rsidRPr="005D0D88">
        <w:rPr>
          <w:rFonts w:cs="Times New Roman"/>
        </w:rPr>
        <w:t xml:space="preserve">L’Unité Nationale de Coordination invite les Consultants Individuels (CI) admissibles à manifester leur intérêt pour fournir les services décrits ci-dessus. Les consultants intéressés doivent fournir les informations démontrant qu’ils possèdent les qualifications requises et une expérience pertinente pour l’exécution des services.   </w:t>
      </w:r>
    </w:p>
    <w:p w14:paraId="37E57AB6" w14:textId="77777777" w:rsidR="008E214D" w:rsidRPr="005D0D88" w:rsidRDefault="008E214D" w:rsidP="008E214D">
      <w:pPr>
        <w:ind w:right="72"/>
        <w:jc w:val="both"/>
        <w:rPr>
          <w:rFonts w:cs="Times New Roman"/>
        </w:rPr>
      </w:pPr>
    </w:p>
    <w:p w14:paraId="79A1636B" w14:textId="77777777" w:rsidR="008E214D" w:rsidRPr="005D0D88" w:rsidRDefault="008E214D" w:rsidP="008E214D">
      <w:pPr>
        <w:suppressAutoHyphens/>
        <w:spacing w:line="288" w:lineRule="auto"/>
        <w:jc w:val="both"/>
        <w:rPr>
          <w:rFonts w:cs="Times New Roman"/>
          <w:lang w:eastAsia="en-US"/>
        </w:rPr>
      </w:pPr>
      <w:r w:rsidRPr="005D0D88">
        <w:rPr>
          <w:rFonts w:cs="Times New Roman"/>
        </w:rPr>
        <w:t>Les critères pour l’établissement de la liste restreinte sont :</w:t>
      </w:r>
    </w:p>
    <w:p w14:paraId="3F6FEEC4" w14:textId="69E33F07" w:rsidR="008E214D" w:rsidRPr="005D0D88" w:rsidRDefault="008E214D" w:rsidP="008E214D">
      <w:pPr>
        <w:pStyle w:val="Paragraphedeliste"/>
        <w:numPr>
          <w:ilvl w:val="0"/>
          <w:numId w:val="10"/>
        </w:numPr>
        <w:jc w:val="both"/>
        <w:rPr>
          <w:sz w:val="22"/>
          <w:szCs w:val="22"/>
          <w:lang w:eastAsia="en-US"/>
        </w:rPr>
      </w:pPr>
      <w:proofErr w:type="gramStart"/>
      <w:r w:rsidRPr="005D0D88">
        <w:rPr>
          <w:rFonts w:eastAsiaTheme="minorHAnsi"/>
          <w:lang w:eastAsia="en-US"/>
        </w:rPr>
        <w:t>être</w:t>
      </w:r>
      <w:proofErr w:type="gramEnd"/>
      <w:r w:rsidRPr="005D0D88">
        <w:rPr>
          <w:rFonts w:eastAsiaTheme="minorHAnsi"/>
          <w:lang w:eastAsia="en-US"/>
        </w:rPr>
        <w:t xml:space="preserve"> titulaire d’un diplôme supérieur (BAC+4) </w:t>
      </w:r>
      <w:r w:rsidR="005D0D88" w:rsidRPr="005D0D88">
        <w:rPr>
          <w:rFonts w:eastAsiaTheme="minorHAnsi"/>
          <w:lang w:eastAsia="en-US"/>
        </w:rPr>
        <w:t>en économie des transports, en économie, en gestion de projets ou en sciences de l’ingénierie (statistique, génie civil)</w:t>
      </w:r>
      <w:r w:rsidRPr="005D0D88">
        <w:t xml:space="preserve"> ;</w:t>
      </w:r>
    </w:p>
    <w:p w14:paraId="4427A873" w14:textId="150F00E4" w:rsidR="008E214D" w:rsidRPr="00CB01F9" w:rsidRDefault="008E214D" w:rsidP="008E214D">
      <w:pPr>
        <w:pStyle w:val="Paragraphedeliste"/>
        <w:numPr>
          <w:ilvl w:val="0"/>
          <w:numId w:val="10"/>
        </w:numPr>
        <w:jc w:val="both"/>
        <w:rPr>
          <w:sz w:val="22"/>
          <w:szCs w:val="22"/>
          <w:lang w:eastAsia="en-US"/>
        </w:rPr>
      </w:pPr>
      <w:proofErr w:type="gramStart"/>
      <w:r w:rsidRPr="005D0D88">
        <w:t>avoir</w:t>
      </w:r>
      <w:proofErr w:type="gramEnd"/>
      <w:r w:rsidRPr="005D0D88">
        <w:t xml:space="preserve"> </w:t>
      </w:r>
      <w:r w:rsidR="005D0D88" w:rsidRPr="005D0D88">
        <w:t>dix (10) ans d’expérience professionnelle</w:t>
      </w:r>
      <w:r w:rsidRPr="005D0D88">
        <w:t xml:space="preserve"> </w:t>
      </w:r>
      <w:r w:rsidRPr="00CB01F9">
        <w:rPr>
          <w:rFonts w:eastAsiaTheme="minorHAnsi"/>
          <w:lang w:eastAsia="en-US"/>
        </w:rPr>
        <w:t xml:space="preserve">dans le domaine </w:t>
      </w:r>
      <w:r w:rsidR="005D0D88" w:rsidRPr="00CB01F9">
        <w:rPr>
          <w:rFonts w:eastAsiaTheme="minorHAnsi"/>
          <w:lang w:eastAsia="en-US"/>
        </w:rPr>
        <w:t>de l’élaboration du rapport d’achèvement des projets ou programmes</w:t>
      </w:r>
      <w:r w:rsidRPr="00CB01F9">
        <w:t xml:space="preserve"> ;</w:t>
      </w:r>
    </w:p>
    <w:p w14:paraId="4076160D" w14:textId="3FA5A5AA" w:rsidR="008E214D" w:rsidRPr="005D0D88" w:rsidRDefault="008E214D" w:rsidP="008E214D">
      <w:pPr>
        <w:pStyle w:val="Paragraphedeliste"/>
        <w:numPr>
          <w:ilvl w:val="0"/>
          <w:numId w:val="10"/>
        </w:numPr>
        <w:jc w:val="both"/>
        <w:rPr>
          <w:color w:val="FF0000"/>
        </w:rPr>
      </w:pPr>
      <w:proofErr w:type="gramStart"/>
      <w:r w:rsidRPr="005D0D88">
        <w:t>avoir</w:t>
      </w:r>
      <w:proofErr w:type="gramEnd"/>
      <w:r w:rsidRPr="005D0D88">
        <w:t xml:space="preserve"> réalisé au moins </w:t>
      </w:r>
      <w:r w:rsidR="00CC4CD5">
        <w:t>deux</w:t>
      </w:r>
      <w:r w:rsidRPr="005D0D88">
        <w:t xml:space="preserve"> (</w:t>
      </w:r>
      <w:r w:rsidR="00CC4CD5">
        <w:t>2</w:t>
      </w:r>
      <w:r w:rsidRPr="005D0D88">
        <w:t>) missions similaires </w:t>
      </w:r>
      <w:r w:rsidR="00CC4CD5" w:rsidRPr="00CC4CD5">
        <w:t>au cours de ses cinq dernières années</w:t>
      </w:r>
      <w:r w:rsidR="00CC4CD5">
        <w:t xml:space="preserve"> et u</w:t>
      </w:r>
      <w:r w:rsidR="00CC4CD5" w:rsidRPr="00CC4CD5">
        <w:t>ne référence en évaluation de projets de transport en milieu rural serait un plus</w:t>
      </w:r>
      <w:r w:rsidR="00DE7A6B">
        <w:t>.</w:t>
      </w:r>
    </w:p>
    <w:p w14:paraId="0D38B523" w14:textId="77777777" w:rsidR="008E214D" w:rsidRPr="005D0D88" w:rsidRDefault="008E214D" w:rsidP="008E214D">
      <w:pPr>
        <w:pStyle w:val="Paragraphedeliste"/>
        <w:jc w:val="both"/>
      </w:pPr>
    </w:p>
    <w:p w14:paraId="5389ACF8" w14:textId="77777777" w:rsidR="008E214D" w:rsidRPr="005D0D88" w:rsidRDefault="008E214D" w:rsidP="008E214D">
      <w:pPr>
        <w:spacing w:line="276" w:lineRule="auto"/>
        <w:jc w:val="both"/>
        <w:rPr>
          <w:rFonts w:cs="Times New Roman"/>
          <w:sz w:val="22"/>
          <w:szCs w:val="22"/>
          <w:lang w:eastAsia="en-US"/>
        </w:rPr>
      </w:pPr>
      <w:r w:rsidRPr="005D0D88">
        <w:rPr>
          <w:rFonts w:eastAsia="Calibri" w:cs="Times New Roman"/>
          <w:b/>
          <w:lang w:eastAsia="en-US"/>
        </w:rPr>
        <w:t>A ce titre, le consultant (Individuel) devra fournir les pièces à conviction y afférentes (PV de réception, attestation de service fait ou bonne fin d’exécution ; les pages de garde et de signature de contrats).</w:t>
      </w:r>
    </w:p>
    <w:p w14:paraId="63BD9B34" w14:textId="77777777" w:rsidR="008E214D" w:rsidRPr="005D0D88" w:rsidRDefault="008E214D" w:rsidP="008E214D">
      <w:pPr>
        <w:spacing w:line="276" w:lineRule="auto"/>
        <w:jc w:val="both"/>
        <w:rPr>
          <w:rFonts w:cs="Times New Roman"/>
          <w:b/>
          <w:sz w:val="22"/>
          <w:szCs w:val="22"/>
          <w:lang w:eastAsia="en-US"/>
        </w:rPr>
      </w:pPr>
      <w:r w:rsidRPr="005D0D88">
        <w:rPr>
          <w:rFonts w:cs="Times New Roman"/>
          <w:b/>
          <w:szCs w:val="22"/>
          <w:lang w:eastAsia="en-US"/>
        </w:rPr>
        <w:t>Il est demandé aux consultants (Individuels) de fournir les Numéros d’Identification Fiscale (NIF) dans leurs dossiers.</w:t>
      </w:r>
    </w:p>
    <w:p w14:paraId="7BF8166B" w14:textId="77777777" w:rsidR="008E214D" w:rsidRPr="005D0D88" w:rsidRDefault="008E214D" w:rsidP="008E214D">
      <w:pPr>
        <w:spacing w:line="276" w:lineRule="auto"/>
        <w:jc w:val="both"/>
        <w:rPr>
          <w:rFonts w:cs="Times New Roman"/>
          <w:b/>
          <w:sz w:val="22"/>
          <w:szCs w:val="22"/>
          <w:lang w:eastAsia="en-US"/>
        </w:rPr>
      </w:pPr>
    </w:p>
    <w:p w14:paraId="778102B9" w14:textId="77777777" w:rsidR="008E214D" w:rsidRPr="005D0D88" w:rsidRDefault="008E214D" w:rsidP="008E214D">
      <w:pPr>
        <w:spacing w:line="276" w:lineRule="auto"/>
        <w:jc w:val="both"/>
        <w:rPr>
          <w:rFonts w:cs="Times New Roman"/>
        </w:rPr>
      </w:pPr>
      <w:r w:rsidRPr="005D0D88">
        <w:rPr>
          <w:rFonts w:cs="Times New Roman"/>
        </w:rPr>
        <w:t xml:space="preserve">Une short liste de trois (03) meilleurs candidats sera établie, mais seul le consultant qui présente le meilleur niveau de qualifications et d’expérience sera invité à soumettre une proposition technique et financière conformément aux paragraphes 7.35 du Règlement de Passation des Marchés pour les </w:t>
      </w:r>
      <w:r w:rsidRPr="005D0D88">
        <w:rPr>
          <w:rFonts w:cs="Times New Roman"/>
        </w:rPr>
        <w:lastRenderedPageBreak/>
        <w:t>Emprunteurs sollicitant le Financement de Projets d’Investissement (FPI) de la Banque Mondiale de Juillet 2016.</w:t>
      </w:r>
    </w:p>
    <w:p w14:paraId="2B527D27" w14:textId="77777777" w:rsidR="008E214D" w:rsidRPr="005D0D88" w:rsidRDefault="008E214D" w:rsidP="008E214D">
      <w:pPr>
        <w:jc w:val="both"/>
        <w:rPr>
          <w:rFonts w:cs="Times New Roman"/>
          <w:sz w:val="22"/>
          <w:szCs w:val="22"/>
          <w:lang w:eastAsia="en-US"/>
        </w:rPr>
      </w:pPr>
    </w:p>
    <w:p w14:paraId="16980415"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LIEU D’EXECUTION :</w:t>
      </w:r>
    </w:p>
    <w:p w14:paraId="60E154F8" w14:textId="4EFB8111" w:rsidR="008E214D" w:rsidRPr="005D0D88" w:rsidRDefault="0011338B" w:rsidP="008E214D">
      <w:pPr>
        <w:spacing w:line="276" w:lineRule="auto"/>
        <w:jc w:val="both"/>
        <w:rPr>
          <w:rFonts w:cs="Times New Roman"/>
        </w:rPr>
      </w:pPr>
      <w:r>
        <w:rPr>
          <w:rFonts w:cs="Times New Roman"/>
        </w:rPr>
        <w:t>La mission</w:t>
      </w:r>
      <w:r w:rsidR="008E214D" w:rsidRPr="005D0D88">
        <w:rPr>
          <w:rFonts w:cs="Times New Roman"/>
        </w:rPr>
        <w:t xml:space="preserve"> sera réalisée dans </w:t>
      </w:r>
      <w:r>
        <w:rPr>
          <w:rFonts w:cs="Times New Roman"/>
        </w:rPr>
        <w:t>les zones d’intervention du projet et à Bamako</w:t>
      </w:r>
      <w:r w:rsidR="008E214D" w:rsidRPr="005D0D88">
        <w:rPr>
          <w:rFonts w:cs="Times New Roman"/>
        </w:rPr>
        <w:t>.</w:t>
      </w:r>
    </w:p>
    <w:p w14:paraId="3F85A8E7" w14:textId="77777777" w:rsidR="008E214D" w:rsidRPr="005D0D88" w:rsidRDefault="008E214D" w:rsidP="008E214D">
      <w:pPr>
        <w:spacing w:line="276" w:lineRule="auto"/>
        <w:jc w:val="both"/>
        <w:rPr>
          <w:rFonts w:cs="Times New Roman"/>
          <w:sz w:val="12"/>
          <w:szCs w:val="12"/>
        </w:rPr>
      </w:pPr>
    </w:p>
    <w:p w14:paraId="05AD7499"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DUREE DE LA CONSULTATION :</w:t>
      </w:r>
    </w:p>
    <w:p w14:paraId="6A5EBA6A" w14:textId="0E85C911" w:rsidR="008E214D" w:rsidRPr="005D0D88" w:rsidRDefault="0011338B" w:rsidP="008E214D">
      <w:pPr>
        <w:jc w:val="both"/>
        <w:rPr>
          <w:rFonts w:cs="Times New Roman"/>
          <w:sz w:val="22"/>
          <w:szCs w:val="22"/>
          <w:lang w:eastAsia="en-US"/>
        </w:rPr>
      </w:pPr>
      <w:r w:rsidRPr="0011338B">
        <w:rPr>
          <w:rFonts w:cs="Times New Roman"/>
        </w:rPr>
        <w:t>La mission du consultant sera étalée sur une période de 40 jours calendaire</w:t>
      </w:r>
      <w:r w:rsidR="00FC701F">
        <w:rPr>
          <w:rFonts w:cs="Times New Roman"/>
        </w:rPr>
        <w:t>s</w:t>
      </w:r>
      <w:r w:rsidRPr="0011338B">
        <w:rPr>
          <w:rFonts w:cs="Times New Roman"/>
        </w:rPr>
        <w:t xml:space="preserve"> hors délais de validation des rapports</w:t>
      </w:r>
      <w:r w:rsidR="008E214D" w:rsidRPr="005D0D88">
        <w:rPr>
          <w:rFonts w:cs="Times New Roman"/>
        </w:rPr>
        <w:t>.</w:t>
      </w:r>
    </w:p>
    <w:p w14:paraId="4F22747C" w14:textId="77777777" w:rsidR="008E214D" w:rsidRPr="005D0D88" w:rsidRDefault="008E214D" w:rsidP="008E214D">
      <w:pPr>
        <w:jc w:val="both"/>
        <w:rPr>
          <w:rFonts w:cs="Times New Roman"/>
          <w:sz w:val="22"/>
          <w:szCs w:val="22"/>
          <w:lang w:eastAsia="en-US"/>
        </w:rPr>
      </w:pPr>
    </w:p>
    <w:p w14:paraId="77DB9C2D" w14:textId="77777777" w:rsidR="008E214D" w:rsidRPr="005D0D88" w:rsidRDefault="008E214D" w:rsidP="008E214D">
      <w:pPr>
        <w:jc w:val="both"/>
        <w:rPr>
          <w:rFonts w:cs="Times New Roman"/>
          <w:lang w:eastAsia="en-US"/>
        </w:rPr>
      </w:pPr>
      <w:r w:rsidRPr="005D0D88">
        <w:rPr>
          <w:rFonts w:cs="Times New Roman"/>
          <w:lang w:eastAsia="en-US"/>
        </w:rPr>
        <w:t>Il est porté à l’attention des Consultants (CI) que les dispositions du paragraphe 3.14 des « Règlement de Passation des Marchés pour les Emprunteurs sollicitant le Financement de Projets d’Investissement (FPI) de la Banque Mondiale » de juillet 2016, révisé en novembre 2017 et Août 2018, relatives aux règles de la Banque mondiale en matière de conflit d’intérêts sont applicables.</w:t>
      </w:r>
    </w:p>
    <w:p w14:paraId="3F03501A" w14:textId="77777777" w:rsidR="008E214D" w:rsidRPr="005D0D88" w:rsidRDefault="008E214D" w:rsidP="008E214D">
      <w:pPr>
        <w:jc w:val="both"/>
        <w:rPr>
          <w:rFonts w:cs="Times New Roman"/>
          <w:sz w:val="22"/>
          <w:szCs w:val="22"/>
          <w:lang w:eastAsia="en-US"/>
        </w:rPr>
      </w:pPr>
    </w:p>
    <w:p w14:paraId="7D24C2B1" w14:textId="77777777" w:rsidR="008E214D" w:rsidRPr="005D0D88" w:rsidRDefault="008E214D" w:rsidP="008E214D">
      <w:pPr>
        <w:jc w:val="both"/>
        <w:rPr>
          <w:rFonts w:cs="Times New Roman"/>
        </w:rPr>
      </w:pPr>
      <w:r w:rsidRPr="005D0D88">
        <w:rPr>
          <w:rFonts w:cs="Times New Roman"/>
        </w:rPr>
        <w:t xml:space="preserve">La sélection se fera suivant la méthode de </w:t>
      </w:r>
      <w:r w:rsidRPr="005D0D88">
        <w:rPr>
          <w:rFonts w:cs="Times New Roman"/>
          <w:b/>
        </w:rPr>
        <w:t>Sélection de Consultant Individuel (CI)</w:t>
      </w:r>
      <w:r w:rsidRPr="005D0D88">
        <w:rPr>
          <w:rFonts w:cs="Times New Roman"/>
        </w:rPr>
        <w:t xml:space="preserve"> conformément au Règlement de Passation des Marchés pour les Emprunteurs sollicitant le Financement de Projets d’Investissement (FPI) de la Banque Mondiale de juillet 2016</w:t>
      </w:r>
      <w:r w:rsidRPr="005D0D88">
        <w:rPr>
          <w:rFonts w:cs="Times New Roman"/>
          <w:lang w:eastAsia="en-US"/>
        </w:rPr>
        <w:t>.</w:t>
      </w:r>
      <w:r w:rsidRPr="005D0D88">
        <w:rPr>
          <w:rFonts w:cs="Times New Roman"/>
        </w:rPr>
        <w:t xml:space="preserve"> </w:t>
      </w:r>
    </w:p>
    <w:p w14:paraId="064E0AEC" w14:textId="77777777" w:rsidR="008E214D" w:rsidRPr="005D0D88" w:rsidRDefault="008E214D" w:rsidP="008E214D">
      <w:pPr>
        <w:jc w:val="both"/>
        <w:rPr>
          <w:rFonts w:cs="Times New Roman"/>
          <w:i/>
          <w:lang w:eastAsia="en-US"/>
        </w:rPr>
      </w:pPr>
    </w:p>
    <w:p w14:paraId="7B05B4B5" w14:textId="01A01845" w:rsidR="008E214D" w:rsidRPr="005D0D88" w:rsidRDefault="008E214D" w:rsidP="008E214D">
      <w:pPr>
        <w:jc w:val="both"/>
        <w:rPr>
          <w:rFonts w:cs="Times New Roman"/>
          <w:lang w:eastAsia="en-US"/>
        </w:rPr>
      </w:pPr>
      <w:r w:rsidRPr="005D0D88">
        <w:rPr>
          <w:rFonts w:cs="Times New Roman"/>
          <w:lang w:eastAsia="en-US"/>
        </w:rPr>
        <w:t xml:space="preserve">Les Consultants intéressés peuvent obtenir des informations supplémentaires et les termes de référence de la mission à l’adresse ci-dessous et aux heures suivantes à l'adresse ci-dessous, de 8 heures à 16 heures : UNC, sise à Médina-Coura Rue 47, Porte 212, Tél. : 20.21.57.25 &amp; 20.21.40.33, Fax : 20.21.92.30; E-mail : </w:t>
      </w:r>
      <w:hyperlink r:id="rId8" w:history="1">
        <w:r w:rsidR="00E72CE5" w:rsidRPr="000B000F">
          <w:rPr>
            <w:rStyle w:val="Lienhypertexte"/>
            <w:rFonts w:cs="Times New Roman"/>
          </w:rPr>
          <w:t>uncpaar5@gmail.com</w:t>
        </w:r>
      </w:hyperlink>
      <w:r w:rsidR="00E72CE5">
        <w:rPr>
          <w:rFonts w:cs="Times New Roman"/>
        </w:rPr>
        <w:t xml:space="preserve"> </w:t>
      </w:r>
      <w:r w:rsidRPr="005D0D88">
        <w:rPr>
          <w:rFonts w:cs="Times New Roman"/>
          <w:lang w:eastAsia="en-US"/>
        </w:rPr>
        <w:t xml:space="preserve">ou </w:t>
      </w:r>
      <w:hyperlink r:id="rId9" w:history="1">
        <w:r w:rsidRPr="005D0D88">
          <w:rPr>
            <w:rStyle w:val="Lienhypertexte"/>
            <w:rFonts w:cs="Times New Roman"/>
            <w:lang w:eastAsia="en-US"/>
          </w:rPr>
          <w:t>dmariko.mariko24@gmail.com</w:t>
        </w:r>
      </w:hyperlink>
      <w:r w:rsidRPr="005D0D88">
        <w:rPr>
          <w:rFonts w:cs="Times New Roman"/>
          <w:lang w:eastAsia="en-US"/>
        </w:rPr>
        <w:t>, Bamako, République du Mali.</w:t>
      </w:r>
    </w:p>
    <w:p w14:paraId="24F26DB4" w14:textId="77777777" w:rsidR="008E214D" w:rsidRPr="005D0D88" w:rsidRDefault="008E214D" w:rsidP="008E214D">
      <w:pPr>
        <w:jc w:val="both"/>
        <w:rPr>
          <w:rFonts w:cs="Times New Roman"/>
        </w:rPr>
      </w:pPr>
    </w:p>
    <w:p w14:paraId="0367663D" w14:textId="79C51172" w:rsidR="008E214D" w:rsidRPr="005D0D88" w:rsidRDefault="008E214D" w:rsidP="008E214D">
      <w:pPr>
        <w:jc w:val="both"/>
        <w:rPr>
          <w:rFonts w:cs="Times New Roman"/>
          <w:b/>
        </w:rPr>
      </w:pPr>
      <w:r w:rsidRPr="005D0D88">
        <w:rPr>
          <w:rFonts w:cs="Times New Roman"/>
        </w:rPr>
        <w:t xml:space="preserve">Les dossiers de manifestation d’intérêt écrite doivent être déposés à l’adresse ci-dessous en </w:t>
      </w:r>
      <w:r w:rsidR="003526FD">
        <w:rPr>
          <w:rFonts w:cs="Times New Roman"/>
        </w:rPr>
        <w:t>copie physique</w:t>
      </w:r>
      <w:r w:rsidRPr="005D0D88">
        <w:rPr>
          <w:rFonts w:cs="Times New Roman"/>
        </w:rPr>
        <w:t xml:space="preserve">, ou par courrier électronique au plus tard </w:t>
      </w:r>
      <w:r w:rsidRPr="005D0D88">
        <w:rPr>
          <w:rFonts w:cs="Times New Roman"/>
          <w:b/>
          <w:color w:val="000000" w:themeColor="text1"/>
        </w:rPr>
        <w:t xml:space="preserve">le </w:t>
      </w:r>
      <w:r w:rsidR="005B5B69">
        <w:rPr>
          <w:rFonts w:cs="Times New Roman"/>
          <w:b/>
          <w:color w:val="000000" w:themeColor="text1"/>
        </w:rPr>
        <w:t>07 mars</w:t>
      </w:r>
      <w:r w:rsidRPr="003526FD">
        <w:rPr>
          <w:rFonts w:cs="Times New Roman"/>
          <w:b/>
          <w:color w:val="000000" w:themeColor="text1"/>
        </w:rPr>
        <w:t xml:space="preserve"> 202</w:t>
      </w:r>
      <w:r w:rsidR="00E72CE5" w:rsidRPr="003526FD">
        <w:rPr>
          <w:rFonts w:cs="Times New Roman"/>
          <w:b/>
          <w:color w:val="000000" w:themeColor="text1"/>
        </w:rPr>
        <w:t>4</w:t>
      </w:r>
      <w:r w:rsidRPr="003526FD">
        <w:rPr>
          <w:rFonts w:cs="Times New Roman"/>
          <w:b/>
          <w:color w:val="000000" w:themeColor="text1"/>
        </w:rPr>
        <w:t xml:space="preserve"> avant 16 heures</w:t>
      </w:r>
      <w:r w:rsidRPr="005D0D88">
        <w:rPr>
          <w:rFonts w:cs="Times New Roman"/>
          <w:b/>
          <w:color w:val="000000" w:themeColor="text1"/>
        </w:rPr>
        <w:t>.</w:t>
      </w:r>
    </w:p>
    <w:p w14:paraId="30C9EF74" w14:textId="77777777" w:rsidR="008E214D" w:rsidRPr="005D0D88" w:rsidRDefault="008E214D" w:rsidP="008E214D">
      <w:pPr>
        <w:jc w:val="both"/>
        <w:rPr>
          <w:rFonts w:cs="Times New Roman"/>
        </w:rPr>
      </w:pPr>
      <w:r w:rsidRPr="005D0D88">
        <w:rPr>
          <w:rFonts w:cs="Times New Roman"/>
        </w:rPr>
        <w:t xml:space="preserve">  </w:t>
      </w:r>
    </w:p>
    <w:p w14:paraId="4DF3FEF2" w14:textId="666F60CC" w:rsidR="008E214D" w:rsidRPr="005D0D88" w:rsidRDefault="008E214D" w:rsidP="008E214D">
      <w:pPr>
        <w:ind w:left="5664"/>
        <w:jc w:val="both"/>
        <w:rPr>
          <w:rFonts w:cs="Times New Roman"/>
          <w:sz w:val="22"/>
          <w:szCs w:val="22"/>
          <w:lang w:eastAsia="en-US"/>
        </w:rPr>
      </w:pPr>
      <w:r w:rsidRPr="005D0D88">
        <w:rPr>
          <w:rFonts w:cs="Times New Roman"/>
          <w:sz w:val="22"/>
          <w:szCs w:val="22"/>
          <w:lang w:eastAsia="en-US"/>
        </w:rPr>
        <w:t xml:space="preserve">  Bamako le </w:t>
      </w:r>
      <w:r w:rsidR="005B5B69">
        <w:rPr>
          <w:rFonts w:cs="Times New Roman"/>
          <w:sz w:val="22"/>
          <w:szCs w:val="22"/>
          <w:lang w:eastAsia="en-US"/>
        </w:rPr>
        <w:t>20</w:t>
      </w:r>
      <w:r w:rsidR="00E72CE5">
        <w:rPr>
          <w:rFonts w:cs="Times New Roman"/>
          <w:sz w:val="22"/>
          <w:szCs w:val="22"/>
          <w:lang w:eastAsia="en-US"/>
        </w:rPr>
        <w:t xml:space="preserve"> février 2024</w:t>
      </w:r>
    </w:p>
    <w:p w14:paraId="24886088" w14:textId="77777777" w:rsidR="008E214D" w:rsidRPr="005D0D88" w:rsidRDefault="008E214D" w:rsidP="008E214D">
      <w:pPr>
        <w:jc w:val="both"/>
        <w:rPr>
          <w:rFonts w:cs="Times New Roman"/>
          <w:sz w:val="22"/>
          <w:szCs w:val="22"/>
          <w:lang w:eastAsia="en-US"/>
        </w:rPr>
      </w:pPr>
    </w:p>
    <w:p w14:paraId="1EEC1A59" w14:textId="77777777" w:rsidR="008E214D" w:rsidRPr="005D0D88" w:rsidRDefault="008E214D" w:rsidP="008E214D">
      <w:pPr>
        <w:jc w:val="both"/>
        <w:rPr>
          <w:rFonts w:cs="Times New Roman"/>
          <w:sz w:val="22"/>
          <w:szCs w:val="22"/>
          <w:lang w:eastAsia="en-US"/>
        </w:rPr>
      </w:pPr>
    </w:p>
    <w:p w14:paraId="70C45689" w14:textId="67219800" w:rsidR="00E478D0" w:rsidRPr="005D0D88" w:rsidRDefault="008E214D" w:rsidP="008E214D">
      <w:pPr>
        <w:jc w:val="both"/>
        <w:rPr>
          <w:rFonts w:cs="Times New Roman"/>
          <w:sz w:val="22"/>
          <w:szCs w:val="22"/>
          <w:lang w:eastAsia="en-US"/>
        </w:rPr>
      </w:pPr>
      <w:r w:rsidRPr="005D0D88">
        <w:rPr>
          <w:rFonts w:cs="Times New Roman"/>
          <w:sz w:val="22"/>
          <w:szCs w:val="22"/>
          <w:lang w:eastAsia="en-US"/>
        </w:rPr>
        <w:t xml:space="preserve">                                                                                                                 Le Coordinateur</w:t>
      </w:r>
      <w:r w:rsidR="00E72CE5">
        <w:rPr>
          <w:rFonts w:cs="Times New Roman"/>
          <w:sz w:val="22"/>
          <w:szCs w:val="22"/>
          <w:lang w:eastAsia="en-US"/>
        </w:rPr>
        <w:t>/PI</w:t>
      </w:r>
    </w:p>
    <w:p w14:paraId="3738C719" w14:textId="77777777" w:rsidR="00E478D0" w:rsidRPr="005D0D88" w:rsidRDefault="00E478D0" w:rsidP="009173A3">
      <w:pPr>
        <w:jc w:val="both"/>
        <w:rPr>
          <w:rFonts w:cs="Times New Roman"/>
          <w:sz w:val="22"/>
          <w:szCs w:val="22"/>
          <w:lang w:eastAsia="en-US"/>
        </w:rPr>
      </w:pPr>
    </w:p>
    <w:p w14:paraId="183AD157" w14:textId="77777777" w:rsidR="009C489E" w:rsidRPr="005D0D88" w:rsidRDefault="009C489E" w:rsidP="009173A3">
      <w:pPr>
        <w:jc w:val="both"/>
        <w:rPr>
          <w:rFonts w:eastAsia="Times New Roman" w:cs="Times New Roman"/>
          <w:szCs w:val="20"/>
          <w:lang w:eastAsia="en-US"/>
        </w:rPr>
      </w:pPr>
    </w:p>
    <w:p w14:paraId="237DC67B" w14:textId="77777777" w:rsidR="00152838" w:rsidRPr="005D0D88" w:rsidRDefault="00152838" w:rsidP="009173A3">
      <w:pPr>
        <w:jc w:val="both"/>
        <w:rPr>
          <w:rFonts w:cs="Times New Roman"/>
        </w:rPr>
      </w:pPr>
    </w:p>
    <w:sectPr w:rsidR="00152838" w:rsidRPr="005D0D88" w:rsidSect="00AA62BE">
      <w:headerReference w:type="first" r:id="rId10"/>
      <w:endnotePr>
        <w:numFmt w:val="decimal"/>
      </w:endnotePr>
      <w:pgSz w:w="12240" w:h="15840"/>
      <w:pgMar w:top="1440" w:right="1041"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7027" w14:textId="77777777" w:rsidR="00AA62BE" w:rsidRDefault="00AA62BE">
      <w:r>
        <w:separator/>
      </w:r>
    </w:p>
  </w:endnote>
  <w:endnote w:type="continuationSeparator" w:id="0">
    <w:p w14:paraId="371C993F" w14:textId="77777777" w:rsidR="00AA62BE" w:rsidRDefault="00AA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9B4C" w14:textId="77777777" w:rsidR="00AA62BE" w:rsidRDefault="00AA62BE">
      <w:r>
        <w:separator/>
      </w:r>
    </w:p>
  </w:footnote>
  <w:footnote w:type="continuationSeparator" w:id="0">
    <w:p w14:paraId="66B52BD5" w14:textId="77777777" w:rsidR="00AA62BE" w:rsidRDefault="00AA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CAA2" w14:textId="77777777" w:rsidR="00ED62B2" w:rsidRDefault="00F26434">
    <w:pPr>
      <w:pStyle w:val="En-tte"/>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ED3"/>
    <w:multiLevelType w:val="hybridMultilevel"/>
    <w:tmpl w:val="89DE94A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52B3"/>
    <w:multiLevelType w:val="hybridMultilevel"/>
    <w:tmpl w:val="D8EA32EE"/>
    <w:lvl w:ilvl="0" w:tplc="851E3170">
      <w:numFmt w:val="bullet"/>
      <w:lvlText w:val="-"/>
      <w:lvlJc w:val="left"/>
      <w:pPr>
        <w:ind w:left="360" w:hanging="360"/>
      </w:pPr>
      <w:rPr>
        <w:rFonts w:ascii="Book Antiqua" w:eastAsia="Calibri" w:hAnsi="Book Antiqu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194323"/>
    <w:multiLevelType w:val="hybridMultilevel"/>
    <w:tmpl w:val="98C657EE"/>
    <w:lvl w:ilvl="0" w:tplc="A928FCDA">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 w15:restartNumberingAfterBreak="0">
    <w:nsid w:val="368E1540"/>
    <w:multiLevelType w:val="hybridMultilevel"/>
    <w:tmpl w:val="BEB48B48"/>
    <w:lvl w:ilvl="0" w:tplc="3F6EE5FC">
      <w:start w:val="21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7FB55C9"/>
    <w:multiLevelType w:val="hybridMultilevel"/>
    <w:tmpl w:val="E1367378"/>
    <w:lvl w:ilvl="0" w:tplc="43321F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44170D"/>
    <w:multiLevelType w:val="hybridMultilevel"/>
    <w:tmpl w:val="C7E2C7BA"/>
    <w:lvl w:ilvl="0" w:tplc="A928FC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31A0FF7"/>
    <w:multiLevelType w:val="hybridMultilevel"/>
    <w:tmpl w:val="75EE9CC2"/>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190C4B"/>
    <w:multiLevelType w:val="hybridMultilevel"/>
    <w:tmpl w:val="818A2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270D77"/>
    <w:multiLevelType w:val="hybridMultilevel"/>
    <w:tmpl w:val="B6BCC1C2"/>
    <w:lvl w:ilvl="0" w:tplc="3F6EE5FC">
      <w:start w:val="21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5822557">
    <w:abstractNumId w:val="2"/>
  </w:num>
  <w:num w:numId="2" w16cid:durableId="1914663480">
    <w:abstractNumId w:val="7"/>
  </w:num>
  <w:num w:numId="3" w16cid:durableId="1434714400">
    <w:abstractNumId w:val="3"/>
  </w:num>
  <w:num w:numId="4" w16cid:durableId="148181570">
    <w:abstractNumId w:val="6"/>
  </w:num>
  <w:num w:numId="5" w16cid:durableId="1101799841">
    <w:abstractNumId w:val="0"/>
  </w:num>
  <w:num w:numId="6" w16cid:durableId="753824262">
    <w:abstractNumId w:val="9"/>
  </w:num>
  <w:num w:numId="7" w16cid:durableId="481197163">
    <w:abstractNumId w:val="8"/>
  </w:num>
  <w:num w:numId="8" w16cid:durableId="204175945">
    <w:abstractNumId w:val="4"/>
  </w:num>
  <w:num w:numId="9" w16cid:durableId="1574966293">
    <w:abstractNumId w:val="5"/>
  </w:num>
  <w:num w:numId="10" w16cid:durableId="900753096">
    <w:abstractNumId w:val="10"/>
  </w:num>
  <w:num w:numId="11" w16cid:durableId="208132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E"/>
    <w:rsid w:val="00011A33"/>
    <w:rsid w:val="0003597D"/>
    <w:rsid w:val="0004649F"/>
    <w:rsid w:val="00084BDE"/>
    <w:rsid w:val="00086871"/>
    <w:rsid w:val="000E50E2"/>
    <w:rsid w:val="0011338B"/>
    <w:rsid w:val="00117BA8"/>
    <w:rsid w:val="00127061"/>
    <w:rsid w:val="00135BBD"/>
    <w:rsid w:val="0014603E"/>
    <w:rsid w:val="00152838"/>
    <w:rsid w:val="001800B3"/>
    <w:rsid w:val="00197E3D"/>
    <w:rsid w:val="001B085D"/>
    <w:rsid w:val="001B7174"/>
    <w:rsid w:val="001B7E60"/>
    <w:rsid w:val="00216610"/>
    <w:rsid w:val="00240280"/>
    <w:rsid w:val="0026433F"/>
    <w:rsid w:val="002E4053"/>
    <w:rsid w:val="00312A23"/>
    <w:rsid w:val="003526FD"/>
    <w:rsid w:val="00352D59"/>
    <w:rsid w:val="00363DE2"/>
    <w:rsid w:val="00364A4B"/>
    <w:rsid w:val="00372409"/>
    <w:rsid w:val="003B0DD6"/>
    <w:rsid w:val="003B518A"/>
    <w:rsid w:val="003C3981"/>
    <w:rsid w:val="00407974"/>
    <w:rsid w:val="0041368B"/>
    <w:rsid w:val="00440259"/>
    <w:rsid w:val="004471E3"/>
    <w:rsid w:val="00454F19"/>
    <w:rsid w:val="004B459C"/>
    <w:rsid w:val="004B712C"/>
    <w:rsid w:val="004D08B6"/>
    <w:rsid w:val="0055091D"/>
    <w:rsid w:val="00574959"/>
    <w:rsid w:val="005A1C3F"/>
    <w:rsid w:val="005B5B69"/>
    <w:rsid w:val="005D0D88"/>
    <w:rsid w:val="00635D0A"/>
    <w:rsid w:val="00661C0B"/>
    <w:rsid w:val="00680A4E"/>
    <w:rsid w:val="006A146A"/>
    <w:rsid w:val="006B31FC"/>
    <w:rsid w:val="006F45F8"/>
    <w:rsid w:val="007016AA"/>
    <w:rsid w:val="00721B82"/>
    <w:rsid w:val="00723DF2"/>
    <w:rsid w:val="0072457E"/>
    <w:rsid w:val="0081365B"/>
    <w:rsid w:val="008278BE"/>
    <w:rsid w:val="00870C53"/>
    <w:rsid w:val="008B6851"/>
    <w:rsid w:val="008E214D"/>
    <w:rsid w:val="008F75C3"/>
    <w:rsid w:val="00913141"/>
    <w:rsid w:val="009173A3"/>
    <w:rsid w:val="00992061"/>
    <w:rsid w:val="009C389A"/>
    <w:rsid w:val="009C489E"/>
    <w:rsid w:val="009E145A"/>
    <w:rsid w:val="00A36D03"/>
    <w:rsid w:val="00A43618"/>
    <w:rsid w:val="00A6615B"/>
    <w:rsid w:val="00A724EE"/>
    <w:rsid w:val="00A763DB"/>
    <w:rsid w:val="00A858F8"/>
    <w:rsid w:val="00A86596"/>
    <w:rsid w:val="00AA62BE"/>
    <w:rsid w:val="00AB4E6E"/>
    <w:rsid w:val="00AB7F85"/>
    <w:rsid w:val="00AD2BA6"/>
    <w:rsid w:val="00AE3477"/>
    <w:rsid w:val="00B0094C"/>
    <w:rsid w:val="00B743CC"/>
    <w:rsid w:val="00B9692A"/>
    <w:rsid w:val="00BA4C4D"/>
    <w:rsid w:val="00BB00B6"/>
    <w:rsid w:val="00BD758B"/>
    <w:rsid w:val="00C12F43"/>
    <w:rsid w:val="00C178AE"/>
    <w:rsid w:val="00C21088"/>
    <w:rsid w:val="00C33676"/>
    <w:rsid w:val="00C669A6"/>
    <w:rsid w:val="00C76CE7"/>
    <w:rsid w:val="00C82AB8"/>
    <w:rsid w:val="00C866FD"/>
    <w:rsid w:val="00C925CD"/>
    <w:rsid w:val="00CB01F9"/>
    <w:rsid w:val="00CC4CD5"/>
    <w:rsid w:val="00CD03AE"/>
    <w:rsid w:val="00CE0594"/>
    <w:rsid w:val="00CF1AA8"/>
    <w:rsid w:val="00D829A7"/>
    <w:rsid w:val="00D8564C"/>
    <w:rsid w:val="00DE7A6B"/>
    <w:rsid w:val="00E2314F"/>
    <w:rsid w:val="00E478D0"/>
    <w:rsid w:val="00E54F6F"/>
    <w:rsid w:val="00E72CE5"/>
    <w:rsid w:val="00EA6CE3"/>
    <w:rsid w:val="00EB3FF2"/>
    <w:rsid w:val="00EB6610"/>
    <w:rsid w:val="00ED62B2"/>
    <w:rsid w:val="00EF024F"/>
    <w:rsid w:val="00EF513F"/>
    <w:rsid w:val="00F26434"/>
    <w:rsid w:val="00F43C36"/>
    <w:rsid w:val="00F57131"/>
    <w:rsid w:val="00F62BE2"/>
    <w:rsid w:val="00F853E3"/>
    <w:rsid w:val="00F92A75"/>
    <w:rsid w:val="00FC701F"/>
    <w:rsid w:val="00FD1A7F"/>
    <w:rsid w:val="00FF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04D6"/>
  <w15:chartTrackingRefBased/>
  <w15:docId w15:val="{BF0A8E63-AF9B-41AC-A2D9-B6981447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89E"/>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
    <w:basedOn w:val="Normal"/>
    <w:link w:val="ParagraphedelisteCar"/>
    <w:uiPriority w:val="34"/>
    <w:qFormat/>
    <w:rsid w:val="009C489E"/>
    <w:pPr>
      <w:ind w:left="720"/>
      <w:contextualSpacing/>
    </w:pPr>
    <w:rPr>
      <w:rFonts w:eastAsia="Times New Roman" w:cs="Times New Roman"/>
    </w:rPr>
  </w:style>
  <w:style w:type="paragraph" w:styleId="En-tte">
    <w:name w:val="header"/>
    <w:basedOn w:val="Normal"/>
    <w:link w:val="En-tteCar"/>
    <w:uiPriority w:val="99"/>
    <w:semiHidden/>
    <w:unhideWhenUsed/>
    <w:rsid w:val="009C489E"/>
    <w:pPr>
      <w:tabs>
        <w:tab w:val="center" w:pos="4536"/>
        <w:tab w:val="right" w:pos="9072"/>
      </w:tabs>
    </w:pPr>
  </w:style>
  <w:style w:type="character" w:customStyle="1" w:styleId="En-tteCar">
    <w:name w:val="En-tête Car"/>
    <w:basedOn w:val="Policepardfaut"/>
    <w:link w:val="En-tte"/>
    <w:uiPriority w:val="99"/>
    <w:semiHidden/>
    <w:rsid w:val="009C489E"/>
    <w:rPr>
      <w:rFonts w:ascii="Times New Roman" w:hAnsi="Times New Roman"/>
      <w:sz w:val="24"/>
      <w:szCs w:val="24"/>
      <w:lang w:eastAsia="fr-FR"/>
    </w:rPr>
  </w:style>
  <w:style w:type="character" w:styleId="Lienhypertexte">
    <w:name w:val="Hyperlink"/>
    <w:basedOn w:val="Policepardfaut"/>
    <w:uiPriority w:val="99"/>
    <w:unhideWhenUsed/>
    <w:rsid w:val="00E478D0"/>
    <w:rPr>
      <w:color w:val="0563C1" w:themeColor="hyperlink"/>
      <w:u w:val="single"/>
    </w:rPr>
  </w:style>
  <w:style w:type="paragraph" w:styleId="Notedefin">
    <w:name w:val="endnote text"/>
    <w:basedOn w:val="Normal"/>
    <w:link w:val="NotedefinCar"/>
    <w:semiHidden/>
    <w:rsid w:val="00A43618"/>
    <w:pPr>
      <w:widowControl w:val="0"/>
    </w:pPr>
    <w:rPr>
      <w:rFonts w:ascii="Courier" w:eastAsia="Times New Roman" w:hAnsi="Courier" w:cs="Times New Roman"/>
      <w:snapToGrid w:val="0"/>
      <w:szCs w:val="20"/>
    </w:rPr>
  </w:style>
  <w:style w:type="character" w:customStyle="1" w:styleId="NotedefinCar">
    <w:name w:val="Note de fin Car"/>
    <w:basedOn w:val="Policepardfaut"/>
    <w:link w:val="Notedefin"/>
    <w:semiHidden/>
    <w:rsid w:val="00A43618"/>
    <w:rPr>
      <w:rFonts w:ascii="Courier" w:eastAsia="Times New Roman" w:hAnsi="Courier" w:cs="Times New Roman"/>
      <w:snapToGrid w:val="0"/>
      <w:sz w:val="24"/>
      <w:szCs w:val="20"/>
      <w:lang w:eastAsia="fr-FR"/>
    </w:rPr>
  </w:style>
  <w:style w:type="paragraph" w:styleId="NormalWeb">
    <w:name w:val="Normal (Web)"/>
    <w:basedOn w:val="Normal"/>
    <w:unhideWhenUsed/>
    <w:rsid w:val="00A858F8"/>
    <w:pPr>
      <w:spacing w:before="100" w:beforeAutospacing="1" w:after="100" w:afterAutospacing="1"/>
    </w:pPr>
    <w:rPr>
      <w:rFonts w:eastAsia="Times New Roman" w:cs="Times New Roman"/>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uiPriority w:val="34"/>
    <w:rsid w:val="008E214D"/>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7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cpaar5@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mariko.mariko2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6249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DOLO</cp:lastModifiedBy>
  <cp:revision>5</cp:revision>
  <cp:lastPrinted>2024-02-22T09:21:00Z</cp:lastPrinted>
  <dcterms:created xsi:type="dcterms:W3CDTF">2024-02-06T15:57:00Z</dcterms:created>
  <dcterms:modified xsi:type="dcterms:W3CDTF">2024-02-22T09:22:00Z</dcterms:modified>
</cp:coreProperties>
</file>