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F0E2" w14:textId="50E0B366" w:rsidR="00CC180B" w:rsidRPr="00CC180B" w:rsidRDefault="00CC180B" w:rsidP="00CC180B">
      <w:pPr>
        <w:spacing w:after="0"/>
        <w:rPr>
          <w:rFonts w:ascii="Times New Roman" w:eastAsia="Calibri" w:hAnsi="Times New Roman" w:cs="Times New Roman"/>
          <w:b/>
          <w:sz w:val="24"/>
          <w:szCs w:val="24"/>
        </w:rPr>
      </w:pPr>
      <w:bookmarkStart w:id="0" w:name="_Hlk174957926"/>
      <w:r w:rsidRPr="00CC180B">
        <w:rPr>
          <w:rFonts w:ascii="Times New Roman" w:eastAsia="Calibri" w:hAnsi="Times New Roman" w:cs="Times New Roman"/>
          <w:b/>
          <w:sz w:val="24"/>
          <w:szCs w:val="24"/>
        </w:rPr>
        <w:t xml:space="preserve">COUR SUPREME                                                           </w:t>
      </w:r>
      <w:r>
        <w:rPr>
          <w:rFonts w:ascii="Times New Roman" w:eastAsia="Calibri" w:hAnsi="Times New Roman" w:cs="Times New Roman"/>
          <w:b/>
          <w:sz w:val="24"/>
          <w:szCs w:val="24"/>
        </w:rPr>
        <w:t xml:space="preserve">        </w:t>
      </w:r>
      <w:r w:rsidRPr="00CC180B">
        <w:rPr>
          <w:rFonts w:ascii="Times New Roman" w:eastAsia="Calibri" w:hAnsi="Times New Roman" w:cs="Times New Roman"/>
          <w:b/>
          <w:sz w:val="24"/>
          <w:szCs w:val="24"/>
        </w:rPr>
        <w:t>REPUBLIQUE DU MALI</w:t>
      </w:r>
    </w:p>
    <w:p w14:paraId="7FE9E77D" w14:textId="753A3C7F" w:rsidR="00CC180B" w:rsidRPr="00CC180B" w:rsidRDefault="00CC180B" w:rsidP="00CC180B">
      <w:pPr>
        <w:spacing w:after="0"/>
        <w:rPr>
          <w:rFonts w:ascii="Times New Roman" w:eastAsia="Calibri" w:hAnsi="Times New Roman" w:cs="Times New Roman"/>
          <w:b/>
          <w:sz w:val="24"/>
          <w:szCs w:val="24"/>
        </w:rPr>
      </w:pPr>
      <w:r w:rsidRPr="00CC180B">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 xml:space="preserve">           </w:t>
      </w:r>
      <w:r w:rsidRPr="00CC180B">
        <w:rPr>
          <w:rFonts w:ascii="Times New Roman" w:eastAsia="Calibri" w:hAnsi="Times New Roman" w:cs="Times New Roman"/>
          <w:b/>
          <w:sz w:val="24"/>
          <w:szCs w:val="24"/>
        </w:rPr>
        <w:t xml:space="preserve">  Un Peuple – Un But – Une Foi  </w:t>
      </w:r>
    </w:p>
    <w:p w14:paraId="4B629B00" w14:textId="77777777" w:rsidR="00CC180B" w:rsidRPr="00CC180B" w:rsidRDefault="00CC180B" w:rsidP="00CC180B">
      <w:pPr>
        <w:spacing w:after="0"/>
        <w:rPr>
          <w:rFonts w:ascii="Times New Roman" w:eastAsia="Calibri" w:hAnsi="Times New Roman" w:cs="Times New Roman"/>
          <w:b/>
          <w:sz w:val="24"/>
          <w:szCs w:val="24"/>
        </w:rPr>
      </w:pPr>
      <w:r w:rsidRPr="00CC180B">
        <w:rPr>
          <w:rFonts w:ascii="Times New Roman" w:eastAsia="Calibri" w:hAnsi="Times New Roman" w:cs="Times New Roman"/>
          <w:b/>
          <w:sz w:val="24"/>
          <w:szCs w:val="24"/>
        </w:rPr>
        <w:t xml:space="preserve">CABINET DU PRESIDENT                                                  =-=-=-=-=-=-=-=-=                                                                                                     =-=-=-=-=-=-=-=-=                                                                         </w:t>
      </w:r>
    </w:p>
    <w:bookmarkEnd w:id="0"/>
    <w:p w14:paraId="20E11AC1" w14:textId="77777777" w:rsidR="00CC180B" w:rsidRPr="00CC180B" w:rsidRDefault="00CC180B" w:rsidP="00CC180B">
      <w:pPr>
        <w:spacing w:after="0"/>
        <w:rPr>
          <w:rFonts w:ascii="Times New Roman" w:eastAsia="Calibri" w:hAnsi="Times New Roman" w:cs="Times New Roman"/>
          <w:b/>
          <w:sz w:val="24"/>
          <w:szCs w:val="24"/>
        </w:rPr>
      </w:pPr>
    </w:p>
    <w:p w14:paraId="76CC2A16" w14:textId="77777777" w:rsidR="00CC180B" w:rsidRPr="00CC180B" w:rsidRDefault="00CC180B" w:rsidP="00CC180B">
      <w:pPr>
        <w:jc w:val="center"/>
        <w:rPr>
          <w:rFonts w:ascii="Times New Roman" w:eastAsia="Calibri" w:hAnsi="Times New Roman" w:cs="Times New Roman"/>
          <w:b/>
          <w:sz w:val="24"/>
          <w:szCs w:val="24"/>
        </w:rPr>
      </w:pPr>
      <w:r w:rsidRPr="00CC180B">
        <w:rPr>
          <w:rFonts w:ascii="Times New Roman" w:eastAsia="Calibri" w:hAnsi="Times New Roman" w:cs="Times New Roman"/>
          <w:b/>
          <w:sz w:val="24"/>
          <w:szCs w:val="24"/>
        </w:rPr>
        <w:t>Avis d’Appel d’Offres Ouvert (AAOO)</w:t>
      </w:r>
    </w:p>
    <w:p w14:paraId="33A519C1" w14:textId="77777777" w:rsidR="00CC180B" w:rsidRPr="00CC180B" w:rsidRDefault="00CC180B" w:rsidP="00CC180B">
      <w:pPr>
        <w:jc w:val="center"/>
        <w:rPr>
          <w:rFonts w:ascii="Times New Roman" w:eastAsia="Calibri" w:hAnsi="Times New Roman" w:cs="Times New Roman"/>
          <w:b/>
          <w:sz w:val="24"/>
          <w:szCs w:val="24"/>
        </w:rPr>
      </w:pPr>
      <w:r w:rsidRPr="00CC180B">
        <w:rPr>
          <w:rFonts w:ascii="Times New Roman" w:eastAsia="Calibri" w:hAnsi="Times New Roman" w:cs="Times New Roman"/>
          <w:b/>
          <w:sz w:val="24"/>
          <w:szCs w:val="24"/>
        </w:rPr>
        <w:t>COUR SUPREME DU MALI</w:t>
      </w:r>
    </w:p>
    <w:p w14:paraId="441BEF87" w14:textId="1DC73AC6" w:rsidR="00CC180B" w:rsidRPr="00CC180B" w:rsidRDefault="00CC180B" w:rsidP="00CC180B">
      <w:pPr>
        <w:jc w:val="center"/>
        <w:rPr>
          <w:rFonts w:ascii="Times New Roman" w:eastAsia="Calibri" w:hAnsi="Times New Roman" w:cs="Times New Roman"/>
          <w:b/>
          <w:iCs/>
          <w:sz w:val="24"/>
          <w:szCs w:val="24"/>
        </w:rPr>
      </w:pPr>
      <w:r w:rsidRPr="00CC180B">
        <w:rPr>
          <w:rFonts w:ascii="Times New Roman" w:eastAsia="Calibri" w:hAnsi="Times New Roman" w:cs="Times New Roman"/>
          <w:b/>
          <w:iCs/>
          <w:sz w:val="24"/>
          <w:szCs w:val="24"/>
        </w:rPr>
        <w:t>Entretien et nettoyage des locaux de la Cour Suprême en quatre (04) lots</w:t>
      </w:r>
    </w:p>
    <w:p w14:paraId="7EC0E867"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Cet Avis d’Appel d’Offres fait suite à l’Avis Général de Passation des Marchés.</w:t>
      </w:r>
    </w:p>
    <w:p w14:paraId="49A0B9DE"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 Président de la Cour Suprême dispose de fonds sur le budget de l’État, afin de financer </w:t>
      </w:r>
      <w:r w:rsidRPr="00CC180B">
        <w:rPr>
          <w:rFonts w:ascii="Times New Roman" w:eastAsia="Calibri" w:hAnsi="Times New Roman" w:cs="Times New Roman"/>
          <w:bCs/>
          <w:iCs/>
          <w:sz w:val="24"/>
          <w:szCs w:val="24"/>
        </w:rPr>
        <w:t>le</w:t>
      </w:r>
      <w:r w:rsidRPr="00CC180B">
        <w:rPr>
          <w:rFonts w:ascii="Times New Roman" w:eastAsia="Calibri" w:hAnsi="Times New Roman" w:cs="Times New Roman"/>
          <w:bCs/>
          <w:i/>
          <w:sz w:val="24"/>
          <w:szCs w:val="24"/>
        </w:rPr>
        <w:t xml:space="preserve"> </w:t>
      </w:r>
      <w:r w:rsidRPr="00CC180B">
        <w:rPr>
          <w:rFonts w:ascii="Times New Roman" w:eastAsia="Calibri" w:hAnsi="Times New Roman" w:cs="Times New Roman"/>
          <w:bCs/>
          <w:iCs/>
          <w:sz w:val="24"/>
          <w:szCs w:val="24"/>
        </w:rPr>
        <w:t>marché d’entretien et de nettoyage des locaux de la Cour Suprême</w:t>
      </w:r>
      <w:r w:rsidRPr="00CC180B">
        <w:rPr>
          <w:rFonts w:ascii="Times New Roman" w:eastAsia="Calibri" w:hAnsi="Times New Roman" w:cs="Times New Roman"/>
          <w:bCs/>
          <w:sz w:val="24"/>
          <w:szCs w:val="24"/>
        </w:rPr>
        <w:t xml:space="preserve">, et à l’intention d’utiliser une partie de ces fonds pour effectuer des paiements au titre du marché </w:t>
      </w:r>
      <w:r w:rsidRPr="00CC180B">
        <w:rPr>
          <w:rFonts w:ascii="Times New Roman" w:eastAsia="Calibri" w:hAnsi="Times New Roman" w:cs="Times New Roman"/>
          <w:bCs/>
          <w:iCs/>
          <w:sz w:val="24"/>
          <w:szCs w:val="24"/>
        </w:rPr>
        <w:t>relatif à l’entretien et au nettoyage des locaux de la Cour Suprême en quatre (04) lots.</w:t>
      </w:r>
    </w:p>
    <w:p w14:paraId="36075CA1"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 Président de la Cour Suprême sollicite des offres fermées de la part de candidats éligibles et répondant aux qualifications requises pour la prestation des services suivants : </w:t>
      </w:r>
      <w:r w:rsidRPr="00CC180B">
        <w:rPr>
          <w:rFonts w:ascii="Times New Roman" w:eastAsia="Calibri" w:hAnsi="Times New Roman" w:cs="Times New Roman"/>
          <w:bCs/>
          <w:iCs/>
          <w:sz w:val="24"/>
          <w:szCs w:val="24"/>
        </w:rPr>
        <w:t>l’entretien et au nettoyage des locaux de la Cour Suprême en quatre (04) lots</w:t>
      </w:r>
      <w:r w:rsidRPr="00CC180B">
        <w:rPr>
          <w:rFonts w:ascii="Times New Roman" w:eastAsia="Calibri" w:hAnsi="Times New Roman" w:cs="Times New Roman"/>
          <w:bCs/>
          <w:sz w:val="24"/>
          <w:szCs w:val="24"/>
        </w:rPr>
        <w:t>.</w:t>
      </w:r>
    </w:p>
    <w:p w14:paraId="5379644E"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La passation du Marché sera conduite par Appel d’offres ouvert tel que défini dans le Code des Marchés publics à l’article 50 et ouvert à tous les candidats éligibles.</w:t>
      </w:r>
    </w:p>
    <w:p w14:paraId="7309D9AD"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Les candidats intéressés peuvent obtenir des informations auprès du Gestionnaire de la Cour Suprême à Banankabougou Bollé et prendre connaissance des documents d’Appel d’offres à l’adresse mentionnée ci-après Service Financier de la Cour Suprême à Banankabougou Bollé de 7 heures 30 minutes à 16 heures</w:t>
      </w:r>
      <w:r w:rsidRPr="00CC180B">
        <w:rPr>
          <w:rFonts w:ascii="Times New Roman" w:eastAsia="Calibri" w:hAnsi="Times New Roman" w:cs="Times New Roman"/>
          <w:bCs/>
          <w:i/>
          <w:sz w:val="24"/>
          <w:szCs w:val="24"/>
        </w:rPr>
        <w:t xml:space="preserve"> 00 minute</w:t>
      </w:r>
      <w:r w:rsidRPr="00CC180B">
        <w:rPr>
          <w:rFonts w:ascii="Times New Roman" w:eastAsia="Calibri" w:hAnsi="Times New Roman" w:cs="Times New Roman"/>
          <w:bCs/>
          <w:sz w:val="24"/>
          <w:szCs w:val="24"/>
        </w:rPr>
        <w:t>.</w:t>
      </w:r>
    </w:p>
    <w:p w14:paraId="5BF0BDC7"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Les exigences en matière de qualifications sont : </w:t>
      </w:r>
    </w:p>
    <w:p w14:paraId="402BAE0E" w14:textId="77777777" w:rsidR="00CC180B" w:rsidRPr="00CC180B" w:rsidRDefault="00CC180B" w:rsidP="00CC180B">
      <w:pPr>
        <w:numPr>
          <w:ilvl w:val="0"/>
          <w:numId w:val="7"/>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Etats financiers (bilans, extraits de bilan ou comptes d’exploitation) de 2022, 2023 et 2024 certifiés par un expert-comptable agrée ou attestés par un comptable agrée inscrit à l’ordre et sur lesdits bilans doit figurer la mention suivante « bilans ou extraits de bilans certifiés conformes aux déclarations souscrites au service des impôts, apposée par le service des impôts compétent » ;</w:t>
      </w:r>
    </w:p>
    <w:p w14:paraId="1ADEA2B0" w14:textId="77777777" w:rsidR="00CC180B" w:rsidRPr="00CC180B" w:rsidRDefault="00CC180B" w:rsidP="00CC180B">
      <w:pPr>
        <w:numPr>
          <w:ilvl w:val="0"/>
          <w:numId w:val="7"/>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Chiffres d’affaires moyens des années 2022 ; 2023 et 2024 au moins égal à l’offre ;</w:t>
      </w:r>
    </w:p>
    <w:p w14:paraId="19EF4887" w14:textId="77777777" w:rsidR="00CC180B" w:rsidRPr="00CC180B" w:rsidRDefault="00CC180B" w:rsidP="00CC180B">
      <w:pPr>
        <w:numPr>
          <w:ilvl w:val="0"/>
          <w:numId w:val="7"/>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Pour les sociétés nouvellement créées et dont la date d’établissement du premier bilan n’est pas arrivée à la date de dépôts des offres : Elles sont dispensées de la présentation des états financiers et la preuve des expériences similaires. Toutefois, pour l’appréciation des expériences, la candidature de ces sociétés sera examinée au regard des capacités professionnelles et techniques par le biais des expériences et références de leurs dirigeants ou collaborateurs. Pour apprécier leurs capacités financières, elles doivent fournir une attestation bancaire de ligne de crédit bancaire ou de disponibilité de fonds d’un montant au moins égal au montant de l’offre ;</w:t>
      </w:r>
    </w:p>
    <w:p w14:paraId="1724F5F9" w14:textId="77777777" w:rsidR="00CC180B" w:rsidRPr="00CC180B" w:rsidRDefault="00CC180B" w:rsidP="00CC180B">
      <w:pPr>
        <w:numPr>
          <w:ilvl w:val="0"/>
          <w:numId w:val="7"/>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Pour les sociétés dont la date de création ou du début d’activité ne leur permet que de fournir un ou deux états financiers, doivent en plus des états financiers fournis, donner une attestation bancaire de ligne de crédit ou de disponibilité de fonds au moins égal à 30% du montant de l’offre. Pour l’appréciation de leurs expériences, ces sociétés doivent fournir la preuve d’avoir réalisé au moins un marché similaire ;</w:t>
      </w:r>
    </w:p>
    <w:p w14:paraId="2A9600C5" w14:textId="77777777" w:rsidR="00CC180B" w:rsidRPr="00CC180B" w:rsidRDefault="00CC180B" w:rsidP="00CC180B">
      <w:pPr>
        <w:numPr>
          <w:ilvl w:val="0"/>
          <w:numId w:val="7"/>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Personnel clé : directeur ou gérant, comptable, superviseur, chef d’équipes et au moins quinze (15) agents d’entretien et de nettoyages par lot ayant au moins 5 années d’expérience ;</w:t>
      </w:r>
    </w:p>
    <w:p w14:paraId="71106E12" w14:textId="77777777" w:rsidR="00CC180B" w:rsidRPr="00CC180B" w:rsidRDefault="00CC180B" w:rsidP="00CC180B">
      <w:pPr>
        <w:numPr>
          <w:ilvl w:val="0"/>
          <w:numId w:val="8"/>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Moyens logistiques disponibles : Auto laveuses, Mono brosses, Aspirateur industriels eau et poussière, Aspirateurs injection extraction, Aspirateurs à vapeur, Nettoyeur en haute pression, Matériel complet pour vitrerie, chariots de lavage et ménage, Echelles doubles au moins 8 mètres, des lots de petits matériels de travail (raclettes, sceaux, poubelles, serpillères etc.) par lot, Véhicule courriers pour liaison services techniques et contrôle (copie certifiée de la carte grise à fournir), Camion nacelle pour le nettoyage de la vitrerie et de façade 25 mètres (copie certifiée de la carte grise ou contrat de location à fournir) ;</w:t>
      </w:r>
    </w:p>
    <w:p w14:paraId="3D5F9308" w14:textId="77777777" w:rsidR="00CC180B" w:rsidRPr="00CC180B" w:rsidRDefault="00CC180B" w:rsidP="00CC180B">
      <w:pPr>
        <w:numPr>
          <w:ilvl w:val="0"/>
          <w:numId w:val="8"/>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Pulvérisation, désinfection et dératisation de tout le lot (au moins 1 fois par trimestre) contre les moustiques, salamandre, cafards etc. avec des produits recommandés ;</w:t>
      </w:r>
    </w:p>
    <w:p w14:paraId="6E13C0CB" w14:textId="77777777" w:rsidR="00CC180B" w:rsidRPr="00CC180B" w:rsidRDefault="00CC180B" w:rsidP="00CC180B">
      <w:pPr>
        <w:numPr>
          <w:ilvl w:val="0"/>
          <w:numId w:val="8"/>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lastRenderedPageBreak/>
        <w:t>Le Soumissionnaire doit prouver, documentation à l’appui, qu’il satisfait aux exigences d’expérience ci-après : fournir au moins deux (02) marchés similaires (2022 à 2025) attestés soit par les attestations de bonne exécution, soit par les attestations de services bien faits accompagnés des copies des pages de garde et signature des marchés correspondants ;</w:t>
      </w:r>
    </w:p>
    <w:p w14:paraId="06D82549" w14:textId="77777777" w:rsidR="00CC180B" w:rsidRPr="00CC180B" w:rsidRDefault="00CC180B" w:rsidP="00CC180B">
      <w:pPr>
        <w:numPr>
          <w:ilvl w:val="0"/>
          <w:numId w:val="8"/>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Le Soumissionnaire doit fournir la preuve écrite que les services qu’il propose remplissent les conditions d’utilisation suivante : fournir la liste des matériels de nettoyage appropriés pour le nouveau siège de la Cour Suprême </w:t>
      </w:r>
      <w:r w:rsidRPr="00CC180B">
        <w:rPr>
          <w:rFonts w:ascii="Times New Roman" w:eastAsia="Calibri" w:hAnsi="Times New Roman" w:cs="Times New Roman"/>
          <w:bCs/>
          <w:i/>
          <w:sz w:val="24"/>
          <w:szCs w:val="24"/>
        </w:rPr>
        <w:t>;</w:t>
      </w:r>
    </w:p>
    <w:p w14:paraId="00D96525" w14:textId="77777777" w:rsidR="00CC180B" w:rsidRPr="00CC180B" w:rsidRDefault="00CC180B" w:rsidP="00CC180B">
      <w:pPr>
        <w:numPr>
          <w:ilvl w:val="0"/>
          <w:numId w:val="8"/>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 Soumissionnaire devra joindre à son offre les autres documents suivants (en original ou en copie certifiée conforme) en cours de validité : </w:t>
      </w:r>
    </w:p>
    <w:p w14:paraId="290CB5A7"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    -l’attestation d’inscription au registre du commerce ;</w:t>
      </w:r>
    </w:p>
    <w:p w14:paraId="67A19089"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    -le certificat de non faillite ;</w:t>
      </w:r>
    </w:p>
    <w:p w14:paraId="3C32B731"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    -le quitus fiscal ;</w:t>
      </w:r>
    </w:p>
    <w:p w14:paraId="00AAA5AD"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    -la procuration du signataire de la soumission (le cas échéant) ;</w:t>
      </w:r>
    </w:p>
    <w:p w14:paraId="2DA28D47" w14:textId="77777777" w:rsid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    -l’acte de constitution du groupement (le cas échéant).</w:t>
      </w:r>
    </w:p>
    <w:p w14:paraId="2F31E4D0" w14:textId="77777777" w:rsidR="00CC180B" w:rsidRPr="00CC180B" w:rsidRDefault="00CC180B" w:rsidP="00CC180B">
      <w:pPr>
        <w:spacing w:after="0"/>
        <w:jc w:val="both"/>
        <w:rPr>
          <w:rFonts w:ascii="Times New Roman" w:eastAsia="Calibri" w:hAnsi="Times New Roman" w:cs="Times New Roman"/>
          <w:bCs/>
          <w:sz w:val="24"/>
          <w:szCs w:val="24"/>
        </w:rPr>
      </w:pPr>
    </w:p>
    <w:p w14:paraId="78D5A372" w14:textId="77777777" w:rsidR="00CC180B" w:rsidRPr="00CC180B" w:rsidRDefault="00CC180B" w:rsidP="00CC180B">
      <w:pPr>
        <w:spacing w:after="0"/>
        <w:jc w:val="both"/>
        <w:rPr>
          <w:rFonts w:ascii="Times New Roman" w:eastAsia="Calibri" w:hAnsi="Times New Roman" w:cs="Times New Roman"/>
          <w:b/>
          <w:i/>
          <w:sz w:val="24"/>
          <w:szCs w:val="24"/>
        </w:rPr>
      </w:pPr>
      <w:r w:rsidRPr="00CC180B">
        <w:rPr>
          <w:rFonts w:ascii="Times New Roman" w:eastAsia="Calibri" w:hAnsi="Times New Roman" w:cs="Times New Roman"/>
          <w:b/>
          <w:i/>
          <w:sz w:val="24"/>
          <w:szCs w:val="24"/>
          <w:u w:val="single"/>
        </w:rPr>
        <w:t>NB :</w:t>
      </w:r>
      <w:r w:rsidRPr="00CC180B">
        <w:rPr>
          <w:rFonts w:ascii="Times New Roman" w:eastAsia="Calibri" w:hAnsi="Times New Roman" w:cs="Times New Roman"/>
          <w:b/>
          <w:i/>
          <w:sz w:val="24"/>
          <w:szCs w:val="24"/>
        </w:rPr>
        <w:t xml:space="preserve"> la non fourniture ou la fourniture non conforme d’une de ces pièces citées </w:t>
      </w:r>
    </w:p>
    <w:p w14:paraId="36EC3B75" w14:textId="77777777" w:rsidR="00CC180B" w:rsidRPr="00CC180B" w:rsidRDefault="00CC180B" w:rsidP="00CC180B">
      <w:pPr>
        <w:spacing w:after="0"/>
        <w:jc w:val="both"/>
        <w:rPr>
          <w:rFonts w:ascii="Times New Roman" w:eastAsia="Calibri" w:hAnsi="Times New Roman" w:cs="Times New Roman"/>
          <w:b/>
          <w:i/>
          <w:sz w:val="24"/>
          <w:szCs w:val="24"/>
        </w:rPr>
      </w:pPr>
      <w:r w:rsidRPr="00CC180B">
        <w:rPr>
          <w:rFonts w:ascii="Times New Roman" w:eastAsia="Calibri" w:hAnsi="Times New Roman" w:cs="Times New Roman"/>
          <w:b/>
          <w:i/>
          <w:sz w:val="24"/>
          <w:szCs w:val="24"/>
        </w:rPr>
        <w:t>ci-dessus entrainera le rejet de l’offre.</w:t>
      </w:r>
    </w:p>
    <w:p w14:paraId="26FBC197" w14:textId="77777777" w:rsidR="00CC180B" w:rsidRPr="00CC180B" w:rsidRDefault="00CC180B" w:rsidP="00CC180B">
      <w:pPr>
        <w:spacing w:after="0"/>
        <w:jc w:val="both"/>
        <w:rPr>
          <w:rFonts w:ascii="Times New Roman" w:eastAsia="Calibri" w:hAnsi="Times New Roman" w:cs="Times New Roman"/>
          <w:bCs/>
          <w:i/>
          <w:sz w:val="24"/>
          <w:szCs w:val="24"/>
        </w:rPr>
      </w:pPr>
    </w:p>
    <w:p w14:paraId="04D861B6" w14:textId="77777777" w:rsidR="00CC180B" w:rsidRPr="00CC180B" w:rsidRDefault="00CC180B" w:rsidP="00CC180B">
      <w:pPr>
        <w:spacing w:after="0"/>
        <w:jc w:val="both"/>
        <w:rPr>
          <w:rFonts w:ascii="Times New Roman" w:eastAsia="Calibri" w:hAnsi="Times New Roman" w:cs="Times New Roman"/>
          <w:bCs/>
          <w:iCs/>
          <w:sz w:val="24"/>
          <w:szCs w:val="24"/>
        </w:rPr>
      </w:pPr>
      <w:r w:rsidRPr="00CC180B">
        <w:rPr>
          <w:rFonts w:ascii="Times New Roman" w:eastAsia="Calibri" w:hAnsi="Times New Roman" w:cs="Times New Roman"/>
          <w:bCs/>
          <w:iCs/>
          <w:sz w:val="24"/>
          <w:szCs w:val="24"/>
        </w:rPr>
        <w:t>L’attributaire provisoire du marché doit obligatoirement fournir dans un délai de deux (02) jours ouvrables, les pièces ci-après :</w:t>
      </w:r>
    </w:p>
    <w:p w14:paraId="7C294008" w14:textId="77777777" w:rsidR="00CC180B" w:rsidRPr="00CC180B" w:rsidRDefault="00CC180B" w:rsidP="00CC180B">
      <w:pPr>
        <w:numPr>
          <w:ilvl w:val="0"/>
          <w:numId w:val="9"/>
        </w:numPr>
        <w:spacing w:after="0"/>
        <w:ind w:left="0"/>
        <w:jc w:val="both"/>
        <w:rPr>
          <w:rFonts w:ascii="Times New Roman" w:eastAsia="Calibri" w:hAnsi="Times New Roman" w:cs="Times New Roman"/>
          <w:bCs/>
          <w:i/>
          <w:sz w:val="24"/>
          <w:szCs w:val="24"/>
        </w:rPr>
      </w:pPr>
      <w:r w:rsidRPr="00CC180B">
        <w:rPr>
          <w:rFonts w:ascii="Times New Roman" w:eastAsia="Calibri" w:hAnsi="Times New Roman" w:cs="Times New Roman"/>
          <w:bCs/>
          <w:i/>
          <w:sz w:val="24"/>
          <w:szCs w:val="24"/>
        </w:rPr>
        <w:t>Statuts ;</w:t>
      </w:r>
    </w:p>
    <w:p w14:paraId="558A6698" w14:textId="77777777" w:rsidR="00CC180B" w:rsidRPr="00CC180B" w:rsidRDefault="00CC180B" w:rsidP="00CC180B">
      <w:pPr>
        <w:numPr>
          <w:ilvl w:val="0"/>
          <w:numId w:val="9"/>
        </w:numPr>
        <w:spacing w:after="0"/>
        <w:ind w:left="0"/>
        <w:jc w:val="both"/>
        <w:rPr>
          <w:rFonts w:ascii="Times New Roman" w:eastAsia="Calibri" w:hAnsi="Times New Roman" w:cs="Times New Roman"/>
          <w:bCs/>
          <w:i/>
          <w:sz w:val="24"/>
          <w:szCs w:val="24"/>
        </w:rPr>
      </w:pPr>
      <w:r w:rsidRPr="00CC180B">
        <w:rPr>
          <w:rFonts w:ascii="Times New Roman" w:eastAsia="Calibri" w:hAnsi="Times New Roman" w:cs="Times New Roman"/>
          <w:bCs/>
          <w:i/>
          <w:sz w:val="24"/>
          <w:szCs w:val="24"/>
        </w:rPr>
        <w:t>Carte d’identification fiscale ;</w:t>
      </w:r>
    </w:p>
    <w:p w14:paraId="398EC071" w14:textId="77777777" w:rsidR="00CC180B" w:rsidRPr="00CC180B" w:rsidRDefault="00CC180B" w:rsidP="00CC180B">
      <w:pPr>
        <w:numPr>
          <w:ilvl w:val="0"/>
          <w:numId w:val="9"/>
        </w:numPr>
        <w:spacing w:after="0"/>
        <w:ind w:left="0"/>
        <w:jc w:val="both"/>
        <w:rPr>
          <w:rFonts w:ascii="Times New Roman" w:eastAsia="Calibri" w:hAnsi="Times New Roman" w:cs="Times New Roman"/>
          <w:bCs/>
          <w:i/>
          <w:sz w:val="24"/>
          <w:szCs w:val="24"/>
        </w:rPr>
      </w:pPr>
      <w:r w:rsidRPr="00CC180B">
        <w:rPr>
          <w:rFonts w:ascii="Times New Roman" w:eastAsia="Calibri" w:hAnsi="Times New Roman" w:cs="Times New Roman"/>
          <w:bCs/>
          <w:i/>
          <w:sz w:val="24"/>
          <w:szCs w:val="24"/>
        </w:rPr>
        <w:t>Attestation de l’institut National de Prévoyance Social (INPS) ;</w:t>
      </w:r>
    </w:p>
    <w:p w14:paraId="3479861E" w14:textId="77777777" w:rsidR="00CC180B" w:rsidRPr="00CC180B" w:rsidRDefault="00CC180B" w:rsidP="00CC180B">
      <w:pPr>
        <w:numPr>
          <w:ilvl w:val="0"/>
          <w:numId w:val="9"/>
        </w:numPr>
        <w:spacing w:after="0"/>
        <w:ind w:left="0"/>
        <w:jc w:val="both"/>
        <w:rPr>
          <w:rFonts w:ascii="Times New Roman" w:eastAsia="Calibri" w:hAnsi="Times New Roman" w:cs="Times New Roman"/>
          <w:bCs/>
          <w:i/>
          <w:sz w:val="24"/>
          <w:szCs w:val="24"/>
        </w:rPr>
      </w:pPr>
      <w:r w:rsidRPr="00CC180B">
        <w:rPr>
          <w:rFonts w:ascii="Times New Roman" w:eastAsia="Calibri" w:hAnsi="Times New Roman" w:cs="Times New Roman"/>
          <w:bCs/>
          <w:i/>
          <w:sz w:val="24"/>
          <w:szCs w:val="24"/>
        </w:rPr>
        <w:t>Attestation de l’Office Malien de l’Habitat (OMH).</w:t>
      </w:r>
    </w:p>
    <w:p w14:paraId="69400DEF" w14:textId="77777777" w:rsidR="00CC180B" w:rsidRPr="00CC180B" w:rsidRDefault="00CC180B" w:rsidP="00CC180B">
      <w:pPr>
        <w:spacing w:after="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Voir les DPAO pour les informations détaillées.</w:t>
      </w:r>
    </w:p>
    <w:p w14:paraId="5963708D" w14:textId="77777777" w:rsidR="00CC180B" w:rsidRPr="00CC180B" w:rsidRDefault="00CC180B" w:rsidP="00CC180B">
      <w:pPr>
        <w:spacing w:after="0"/>
        <w:jc w:val="both"/>
        <w:rPr>
          <w:rFonts w:ascii="Times New Roman" w:eastAsia="Calibri" w:hAnsi="Times New Roman" w:cs="Times New Roman"/>
          <w:bCs/>
          <w:sz w:val="24"/>
          <w:szCs w:val="24"/>
        </w:rPr>
      </w:pPr>
    </w:p>
    <w:p w14:paraId="56E1AC2F"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Les candidats intéressés peuvent consulter gratuitement le dossier d’Appel d’offres complet ou le retirer à titre onéreux contre paiement</w:t>
      </w:r>
      <w:r w:rsidRPr="00CC180B">
        <w:rPr>
          <w:rFonts w:ascii="Times New Roman" w:eastAsia="Calibri" w:hAnsi="Times New Roman" w:cs="Times New Roman"/>
          <w:bCs/>
          <w:sz w:val="24"/>
          <w:szCs w:val="24"/>
          <w:vertAlign w:val="superscript"/>
        </w:rPr>
        <w:footnoteReference w:id="1"/>
      </w:r>
      <w:r w:rsidRPr="00CC180B">
        <w:rPr>
          <w:rFonts w:ascii="Times New Roman" w:eastAsia="Calibri" w:hAnsi="Times New Roman" w:cs="Times New Roman"/>
          <w:bCs/>
          <w:sz w:val="24"/>
          <w:szCs w:val="24"/>
        </w:rPr>
        <w:t xml:space="preserve">  d’une somme non remboursable de </w:t>
      </w:r>
      <w:r w:rsidRPr="00CC180B">
        <w:rPr>
          <w:rFonts w:ascii="Times New Roman" w:eastAsia="Calibri" w:hAnsi="Times New Roman" w:cs="Times New Roman"/>
          <w:bCs/>
          <w:iCs/>
          <w:sz w:val="24"/>
          <w:szCs w:val="24"/>
        </w:rPr>
        <w:t>Cent cinquante mille (150 000)</w:t>
      </w:r>
      <w:r w:rsidRPr="00CC180B">
        <w:rPr>
          <w:rFonts w:ascii="Times New Roman" w:eastAsia="Calibri" w:hAnsi="Times New Roman" w:cs="Times New Roman"/>
          <w:bCs/>
          <w:i/>
          <w:sz w:val="24"/>
          <w:szCs w:val="24"/>
        </w:rPr>
        <w:t xml:space="preserve"> </w:t>
      </w:r>
      <w:r w:rsidRPr="00CC180B">
        <w:rPr>
          <w:rFonts w:ascii="Times New Roman" w:eastAsia="Calibri" w:hAnsi="Times New Roman" w:cs="Times New Roman"/>
          <w:bCs/>
          <w:iCs/>
          <w:sz w:val="24"/>
          <w:szCs w:val="24"/>
        </w:rPr>
        <w:t>F.CFA</w:t>
      </w:r>
      <w:r w:rsidRPr="00CC180B">
        <w:rPr>
          <w:rFonts w:ascii="Times New Roman" w:eastAsia="Calibri" w:hAnsi="Times New Roman" w:cs="Times New Roman"/>
          <w:bCs/>
          <w:sz w:val="24"/>
          <w:szCs w:val="24"/>
        </w:rPr>
        <w:t xml:space="preserve"> à l’adresse mentionnée ci-après </w:t>
      </w:r>
      <w:r w:rsidRPr="00CC180B">
        <w:rPr>
          <w:rFonts w:ascii="Times New Roman" w:eastAsia="Calibri" w:hAnsi="Times New Roman" w:cs="Times New Roman"/>
          <w:bCs/>
          <w:iCs/>
          <w:sz w:val="24"/>
          <w:szCs w:val="24"/>
        </w:rPr>
        <w:t>bureau du Gestionnaire de la Cour Suprême</w:t>
      </w:r>
      <w:r w:rsidRPr="00CC180B">
        <w:rPr>
          <w:rFonts w:ascii="Times New Roman" w:eastAsia="Calibri" w:hAnsi="Times New Roman" w:cs="Times New Roman"/>
          <w:bCs/>
          <w:sz w:val="24"/>
          <w:szCs w:val="24"/>
        </w:rPr>
        <w:t>. La méthode de paiement sera en espèce. Le Dossier d’Appel d’offres sera adressé par courrier électronique ou retiré au Service Financier de la Cour Suprême</w:t>
      </w:r>
      <w:r w:rsidRPr="00CC180B">
        <w:rPr>
          <w:rFonts w:ascii="Times New Roman" w:eastAsia="Calibri" w:hAnsi="Times New Roman" w:cs="Times New Roman"/>
          <w:bCs/>
          <w:i/>
          <w:sz w:val="24"/>
          <w:szCs w:val="24"/>
        </w:rPr>
        <w:t>.</w:t>
      </w:r>
    </w:p>
    <w:p w14:paraId="2A97748C" w14:textId="3613AA71"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Les offres devront être soumises à l’adresse ci-après </w:t>
      </w:r>
      <w:r w:rsidRPr="00CC180B">
        <w:rPr>
          <w:rFonts w:ascii="Times New Roman" w:eastAsia="Calibri" w:hAnsi="Times New Roman" w:cs="Times New Roman"/>
          <w:bCs/>
          <w:iCs/>
          <w:sz w:val="24"/>
          <w:szCs w:val="24"/>
        </w:rPr>
        <w:t xml:space="preserve">Secrétariat particulier du Gestionnaire au plus tard le </w:t>
      </w:r>
      <w:r w:rsidRPr="00B50E2E">
        <w:rPr>
          <w:rFonts w:ascii="Times New Roman" w:eastAsia="Calibri" w:hAnsi="Times New Roman" w:cs="Times New Roman"/>
          <w:b/>
          <w:sz w:val="24"/>
          <w:szCs w:val="24"/>
        </w:rPr>
        <w:t>05 février 202</w:t>
      </w:r>
      <w:r w:rsidR="00B50E2E">
        <w:rPr>
          <w:rFonts w:ascii="Times New Roman" w:eastAsia="Calibri" w:hAnsi="Times New Roman" w:cs="Times New Roman"/>
          <w:b/>
          <w:sz w:val="24"/>
          <w:szCs w:val="24"/>
        </w:rPr>
        <w:t>6</w:t>
      </w:r>
      <w:r w:rsidRPr="00B50E2E">
        <w:rPr>
          <w:rFonts w:ascii="Times New Roman" w:eastAsia="Calibri" w:hAnsi="Times New Roman" w:cs="Times New Roman"/>
          <w:b/>
          <w:i/>
          <w:sz w:val="24"/>
          <w:szCs w:val="24"/>
        </w:rPr>
        <w:t xml:space="preserve"> à 10 heures 00 mn</w:t>
      </w:r>
      <w:r w:rsidRPr="00CC180B">
        <w:rPr>
          <w:rFonts w:ascii="Times New Roman" w:eastAsia="Calibri" w:hAnsi="Times New Roman" w:cs="Times New Roman"/>
          <w:bCs/>
          <w:sz w:val="24"/>
          <w:szCs w:val="24"/>
        </w:rPr>
        <w:t>. Les offres remises en retard ne seront pas acceptées.</w:t>
      </w:r>
    </w:p>
    <w:p w14:paraId="0F5EE0CD"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Les offres doivent comprendre une garantie de soumission, d’un montant d’un million (1 000 000) de Francs CFA par lot conformément à l’article 69 du Code des marchés publics.</w:t>
      </w:r>
    </w:p>
    <w:p w14:paraId="45E2C5F4" w14:textId="77777777"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Les Soumissionnaires resteront engagés par leur offre pendant une période de quatre-vingt-dix (90) jour à compter de la date limite du dépôt des offres comme spécifié au point 19.1 des IC et aux DPAO.</w:t>
      </w:r>
    </w:p>
    <w:p w14:paraId="27D1054C" w14:textId="2E52F924" w:rsidR="00CC180B" w:rsidRP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Les Soumissionnaires sont conviés à la visite de lieu le </w:t>
      </w:r>
      <w:r w:rsidRPr="00B50E2E">
        <w:rPr>
          <w:rFonts w:ascii="Times New Roman" w:eastAsia="Calibri" w:hAnsi="Times New Roman" w:cs="Times New Roman"/>
          <w:b/>
          <w:sz w:val="24"/>
          <w:szCs w:val="24"/>
        </w:rPr>
        <w:t>19 janvier 202</w:t>
      </w:r>
      <w:r w:rsidR="00B50E2E">
        <w:rPr>
          <w:rFonts w:ascii="Times New Roman" w:eastAsia="Calibri" w:hAnsi="Times New Roman" w:cs="Times New Roman"/>
          <w:b/>
          <w:sz w:val="24"/>
          <w:szCs w:val="24"/>
        </w:rPr>
        <w:t>6</w:t>
      </w:r>
      <w:r w:rsidRPr="00B50E2E">
        <w:rPr>
          <w:rFonts w:ascii="Times New Roman" w:eastAsia="Calibri" w:hAnsi="Times New Roman" w:cs="Times New Roman"/>
          <w:b/>
          <w:sz w:val="24"/>
          <w:szCs w:val="24"/>
        </w:rPr>
        <w:t xml:space="preserve"> à 10 heures 15 minutes</w:t>
      </w:r>
      <w:r w:rsidRPr="00CC180B">
        <w:rPr>
          <w:rFonts w:ascii="Times New Roman" w:eastAsia="Calibri" w:hAnsi="Times New Roman" w:cs="Times New Roman"/>
          <w:bCs/>
          <w:sz w:val="24"/>
          <w:szCs w:val="24"/>
        </w:rPr>
        <w:t xml:space="preserve"> </w:t>
      </w:r>
      <w:bookmarkStart w:id="1" w:name="_Hlk217210667"/>
      <w:r w:rsidRPr="00CC180B">
        <w:rPr>
          <w:rFonts w:ascii="Times New Roman" w:eastAsia="Calibri" w:hAnsi="Times New Roman" w:cs="Times New Roman"/>
          <w:bCs/>
          <w:sz w:val="24"/>
          <w:szCs w:val="24"/>
        </w:rPr>
        <w:t>au siège de la Cour Suprême Banankabougou Bolé</w:t>
      </w:r>
      <w:bookmarkEnd w:id="1"/>
      <w:r w:rsidRPr="00CC180B">
        <w:rPr>
          <w:rFonts w:ascii="Times New Roman" w:eastAsia="Calibri" w:hAnsi="Times New Roman" w:cs="Times New Roman"/>
          <w:bCs/>
          <w:sz w:val="24"/>
          <w:szCs w:val="24"/>
        </w:rPr>
        <w:t>.</w:t>
      </w:r>
    </w:p>
    <w:p w14:paraId="18C4FE6B" w14:textId="77777777" w:rsidR="00CC180B" w:rsidRPr="00CC180B" w:rsidRDefault="00CC180B" w:rsidP="00CC180B">
      <w:pPr>
        <w:spacing w:after="0"/>
        <w:jc w:val="both"/>
        <w:rPr>
          <w:rFonts w:ascii="Times New Roman" w:eastAsia="Calibri" w:hAnsi="Times New Roman" w:cs="Times New Roman"/>
          <w:bCs/>
          <w:sz w:val="24"/>
          <w:szCs w:val="24"/>
        </w:rPr>
      </w:pPr>
    </w:p>
    <w:p w14:paraId="5860FF20" w14:textId="0EAB8849" w:rsidR="00CC180B" w:rsidRDefault="00CC180B" w:rsidP="00CC180B">
      <w:pPr>
        <w:numPr>
          <w:ilvl w:val="0"/>
          <w:numId w:val="6"/>
        </w:numPr>
        <w:spacing w:after="0"/>
        <w:ind w:left="0"/>
        <w:jc w:val="both"/>
        <w:rPr>
          <w:rFonts w:ascii="Times New Roman" w:eastAsia="Calibri" w:hAnsi="Times New Roman" w:cs="Times New Roman"/>
          <w:bCs/>
          <w:sz w:val="24"/>
          <w:szCs w:val="24"/>
        </w:rPr>
      </w:pPr>
      <w:r w:rsidRPr="00CC180B">
        <w:rPr>
          <w:rFonts w:ascii="Times New Roman" w:eastAsia="Calibri" w:hAnsi="Times New Roman" w:cs="Times New Roman"/>
          <w:bCs/>
          <w:sz w:val="24"/>
          <w:szCs w:val="24"/>
        </w:rPr>
        <w:t xml:space="preserve">Les offres seront ouvertes en présence des représentants des soumissionnaires qui souhaitent assister à l’ouverture des plis le </w:t>
      </w:r>
      <w:r w:rsidRPr="00B50E2E">
        <w:rPr>
          <w:rFonts w:ascii="Times New Roman" w:eastAsia="Calibri" w:hAnsi="Times New Roman" w:cs="Times New Roman"/>
          <w:b/>
          <w:sz w:val="24"/>
          <w:szCs w:val="24"/>
        </w:rPr>
        <w:t>05 février 202</w:t>
      </w:r>
      <w:r w:rsidR="00B50E2E">
        <w:rPr>
          <w:rFonts w:ascii="Times New Roman" w:eastAsia="Calibri" w:hAnsi="Times New Roman" w:cs="Times New Roman"/>
          <w:b/>
          <w:sz w:val="24"/>
          <w:szCs w:val="24"/>
        </w:rPr>
        <w:t>6</w:t>
      </w:r>
      <w:r w:rsidRPr="00B50E2E">
        <w:rPr>
          <w:rFonts w:ascii="Times New Roman" w:eastAsia="Calibri" w:hAnsi="Times New Roman" w:cs="Times New Roman"/>
          <w:b/>
          <w:i/>
          <w:sz w:val="24"/>
          <w:szCs w:val="24"/>
        </w:rPr>
        <w:t xml:space="preserve"> à 10 heures 00 mn</w:t>
      </w:r>
      <w:r w:rsidRPr="00CC180B">
        <w:rPr>
          <w:rFonts w:ascii="Times New Roman" w:eastAsia="Calibri" w:hAnsi="Times New Roman" w:cs="Times New Roman"/>
          <w:bCs/>
          <w:sz w:val="24"/>
          <w:szCs w:val="24"/>
        </w:rPr>
        <w:t xml:space="preserve"> à l’adresse suivante : au siège de la Cour Suprême Banankabougou Bolé.</w:t>
      </w:r>
    </w:p>
    <w:p w14:paraId="508359E1" w14:textId="77777777" w:rsidR="00CC180B" w:rsidRDefault="00CC180B" w:rsidP="00CC180B">
      <w:pPr>
        <w:pStyle w:val="Paragraphedeliste"/>
        <w:spacing w:after="0"/>
        <w:rPr>
          <w:rFonts w:ascii="Times New Roman" w:eastAsia="Calibri" w:hAnsi="Times New Roman" w:cs="Times New Roman"/>
          <w:bCs/>
          <w:sz w:val="24"/>
          <w:szCs w:val="24"/>
        </w:rPr>
      </w:pPr>
    </w:p>
    <w:p w14:paraId="14D59564" w14:textId="1830235C" w:rsidR="00CB60DF" w:rsidRPr="00CB60DF" w:rsidRDefault="00CB60DF" w:rsidP="00CC180B">
      <w:pPr>
        <w:spacing w:after="0"/>
        <w:jc w:val="right"/>
        <w:rPr>
          <w:b/>
          <w:bCs/>
        </w:rPr>
      </w:pPr>
      <w:r w:rsidRPr="00CB60DF">
        <w:rPr>
          <w:b/>
          <w:bCs/>
        </w:rPr>
        <w:t xml:space="preserve">Bamako, le </w:t>
      </w:r>
      <w:r w:rsidR="00CC180B">
        <w:rPr>
          <w:b/>
          <w:bCs/>
        </w:rPr>
        <w:t>05 janvier</w:t>
      </w:r>
      <w:r w:rsidRPr="00CB60DF">
        <w:rPr>
          <w:b/>
          <w:bCs/>
        </w:rPr>
        <w:t xml:space="preserve"> 202</w:t>
      </w:r>
      <w:r w:rsidR="00B50E2E">
        <w:rPr>
          <w:b/>
          <w:bCs/>
        </w:rPr>
        <w:t>6</w:t>
      </w:r>
    </w:p>
    <w:p w14:paraId="60D0E15D" w14:textId="77777777" w:rsidR="00CB60DF" w:rsidRPr="00CB60DF" w:rsidRDefault="00CB60DF" w:rsidP="00CC180B">
      <w:pPr>
        <w:spacing w:after="0"/>
        <w:jc w:val="right"/>
        <w:rPr>
          <w:b/>
          <w:bCs/>
          <w:i/>
        </w:rPr>
      </w:pPr>
      <w:r w:rsidRPr="00CB60DF">
        <w:rPr>
          <w:b/>
          <w:bCs/>
          <w:i/>
        </w:rPr>
        <w:t xml:space="preserve">Le Gestionnaire de la Cour Suprême </w:t>
      </w:r>
    </w:p>
    <w:p w14:paraId="486283ED" w14:textId="77777777" w:rsidR="00CB60DF" w:rsidRDefault="00CB60DF" w:rsidP="00CC180B">
      <w:pPr>
        <w:spacing w:after="0"/>
        <w:jc w:val="center"/>
        <w:rPr>
          <w:b/>
          <w:bCs/>
          <w:i/>
        </w:rPr>
      </w:pPr>
      <w:r w:rsidRPr="00CB60DF">
        <w:rPr>
          <w:b/>
          <w:bCs/>
          <w:i/>
        </w:rPr>
        <w:t xml:space="preserve">          </w:t>
      </w:r>
      <w:r w:rsidRPr="00CB60DF">
        <w:rPr>
          <w:b/>
          <w:bCs/>
          <w:i/>
        </w:rPr>
        <w:tab/>
      </w:r>
      <w:r w:rsidRPr="00CB60DF">
        <w:rPr>
          <w:b/>
          <w:bCs/>
          <w:i/>
        </w:rPr>
        <w:tab/>
      </w:r>
      <w:r w:rsidRPr="00CB60DF">
        <w:rPr>
          <w:b/>
          <w:bCs/>
          <w:i/>
        </w:rPr>
        <w:tab/>
      </w:r>
      <w:r w:rsidRPr="00CB60DF">
        <w:rPr>
          <w:b/>
          <w:bCs/>
          <w:i/>
        </w:rPr>
        <w:tab/>
        <w:t xml:space="preserve">               </w:t>
      </w:r>
    </w:p>
    <w:p w14:paraId="7EC226E5" w14:textId="77777777" w:rsidR="00CC180B" w:rsidRPr="00CB60DF" w:rsidRDefault="00CC180B" w:rsidP="00CC180B">
      <w:pPr>
        <w:spacing w:after="0"/>
        <w:jc w:val="center"/>
        <w:rPr>
          <w:b/>
          <w:bCs/>
          <w:i/>
        </w:rPr>
      </w:pPr>
    </w:p>
    <w:p w14:paraId="386B956D" w14:textId="16EFF536" w:rsidR="00CB60DF" w:rsidRPr="001058B2" w:rsidRDefault="00CB60DF" w:rsidP="00CC180B">
      <w:pPr>
        <w:spacing w:after="0"/>
        <w:jc w:val="center"/>
        <w:rPr>
          <w:b/>
          <w:bCs/>
          <w:iCs/>
        </w:rPr>
      </w:pPr>
      <w:r w:rsidRPr="00CB60DF">
        <w:rPr>
          <w:b/>
          <w:bCs/>
          <w:i/>
        </w:rPr>
        <w:t xml:space="preserve">     </w:t>
      </w:r>
      <w:r w:rsidRPr="00CB60DF">
        <w:rPr>
          <w:b/>
          <w:bCs/>
          <w:i/>
        </w:rPr>
        <w:tab/>
      </w:r>
      <w:r w:rsidRPr="00CB60DF">
        <w:rPr>
          <w:b/>
          <w:bCs/>
          <w:i/>
        </w:rPr>
        <w:tab/>
      </w:r>
      <w:r w:rsidRPr="00CB60DF">
        <w:rPr>
          <w:b/>
          <w:bCs/>
          <w:i/>
        </w:rPr>
        <w:tab/>
      </w:r>
      <w:r w:rsidRPr="00CB60DF">
        <w:rPr>
          <w:b/>
          <w:bCs/>
          <w:i/>
        </w:rPr>
        <w:tab/>
        <w:t xml:space="preserve">                                         </w:t>
      </w:r>
      <w:r w:rsidR="001058B2">
        <w:rPr>
          <w:b/>
          <w:bCs/>
          <w:i/>
        </w:rPr>
        <w:t xml:space="preserve"> </w:t>
      </w:r>
      <w:r w:rsidR="00CC180B">
        <w:rPr>
          <w:b/>
          <w:bCs/>
          <w:i/>
        </w:rPr>
        <w:t xml:space="preserve">                        </w:t>
      </w:r>
      <w:r w:rsidR="001058B2">
        <w:rPr>
          <w:b/>
          <w:bCs/>
          <w:i/>
        </w:rPr>
        <w:t xml:space="preserve">   </w:t>
      </w:r>
      <w:r w:rsidRPr="00CB60DF">
        <w:rPr>
          <w:b/>
          <w:bCs/>
          <w:i/>
        </w:rPr>
        <w:t xml:space="preserve">  </w:t>
      </w:r>
      <w:r w:rsidRPr="001058B2">
        <w:rPr>
          <w:b/>
          <w:bCs/>
          <w:iCs/>
          <w:u w:val="single"/>
        </w:rPr>
        <w:t>Abdoul Karim KONE</w:t>
      </w:r>
    </w:p>
    <w:p w14:paraId="51F2FC79" w14:textId="7118C011" w:rsidR="00EE048F" w:rsidRDefault="00CB60DF" w:rsidP="00CC180B">
      <w:pPr>
        <w:spacing w:after="0"/>
        <w:jc w:val="center"/>
      </w:pPr>
      <w:r w:rsidRPr="00CB60DF">
        <w:rPr>
          <w:b/>
          <w:bCs/>
          <w:i/>
          <w:sz w:val="20"/>
        </w:rPr>
        <w:t xml:space="preserve">                </w:t>
      </w:r>
      <w:r w:rsidRPr="00CB60DF">
        <w:rPr>
          <w:b/>
          <w:bCs/>
          <w:i/>
          <w:sz w:val="20"/>
        </w:rPr>
        <w:tab/>
      </w:r>
      <w:r w:rsidRPr="00CB60DF">
        <w:rPr>
          <w:b/>
          <w:bCs/>
          <w:i/>
          <w:sz w:val="20"/>
        </w:rPr>
        <w:tab/>
      </w:r>
      <w:r w:rsidRPr="00CB60DF">
        <w:rPr>
          <w:b/>
          <w:bCs/>
          <w:i/>
          <w:sz w:val="20"/>
        </w:rPr>
        <w:tab/>
      </w:r>
      <w:r w:rsidRPr="00CB60DF">
        <w:rPr>
          <w:b/>
          <w:bCs/>
          <w:i/>
          <w:sz w:val="20"/>
        </w:rPr>
        <w:tab/>
      </w:r>
      <w:r w:rsidRPr="00CB60DF">
        <w:rPr>
          <w:b/>
          <w:bCs/>
          <w:i/>
          <w:sz w:val="20"/>
        </w:rPr>
        <w:tab/>
        <w:t xml:space="preserve">               </w:t>
      </w:r>
      <w:r w:rsidR="001058B2">
        <w:rPr>
          <w:b/>
          <w:bCs/>
          <w:i/>
          <w:sz w:val="20"/>
        </w:rPr>
        <w:t xml:space="preserve">   </w:t>
      </w:r>
      <w:r w:rsidR="00CC180B">
        <w:rPr>
          <w:b/>
          <w:bCs/>
          <w:i/>
          <w:sz w:val="20"/>
        </w:rPr>
        <w:t xml:space="preserve">                                    </w:t>
      </w:r>
      <w:r w:rsidRPr="00CB60DF">
        <w:rPr>
          <w:b/>
          <w:bCs/>
          <w:i/>
          <w:sz w:val="20"/>
        </w:rPr>
        <w:t xml:space="preserve"> </w:t>
      </w:r>
      <w:r>
        <w:rPr>
          <w:b/>
          <w:bCs/>
          <w:i/>
          <w:sz w:val="20"/>
        </w:rPr>
        <w:t xml:space="preserve">Officier </w:t>
      </w:r>
      <w:r w:rsidRPr="00CB60DF">
        <w:rPr>
          <w:b/>
          <w:bCs/>
          <w:i/>
          <w:sz w:val="20"/>
        </w:rPr>
        <w:t xml:space="preserve">de l’Ordre National </w:t>
      </w:r>
    </w:p>
    <w:sectPr w:rsidR="00EE048F" w:rsidSect="00CC180B">
      <w:pgSz w:w="11906" w:h="16838"/>
      <w:pgMar w:top="426"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413E" w14:textId="77777777" w:rsidR="002F0A7C" w:rsidRDefault="002F0A7C" w:rsidP="00CC180B">
      <w:pPr>
        <w:spacing w:after="0" w:line="240" w:lineRule="auto"/>
      </w:pPr>
      <w:r>
        <w:separator/>
      </w:r>
    </w:p>
  </w:endnote>
  <w:endnote w:type="continuationSeparator" w:id="0">
    <w:p w14:paraId="665194C6" w14:textId="77777777" w:rsidR="002F0A7C" w:rsidRDefault="002F0A7C" w:rsidP="00CC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D10F" w14:textId="77777777" w:rsidR="002F0A7C" w:rsidRDefault="002F0A7C" w:rsidP="00CC180B">
      <w:pPr>
        <w:spacing w:after="0" w:line="240" w:lineRule="auto"/>
      </w:pPr>
      <w:r>
        <w:separator/>
      </w:r>
    </w:p>
  </w:footnote>
  <w:footnote w:type="continuationSeparator" w:id="0">
    <w:p w14:paraId="09115E1E" w14:textId="77777777" w:rsidR="002F0A7C" w:rsidRDefault="002F0A7C" w:rsidP="00CC180B">
      <w:pPr>
        <w:spacing w:after="0" w:line="240" w:lineRule="auto"/>
      </w:pPr>
      <w:r>
        <w:continuationSeparator/>
      </w:r>
    </w:p>
  </w:footnote>
  <w:footnote w:id="1">
    <w:p w14:paraId="1C284791" w14:textId="77777777" w:rsidR="00CC180B" w:rsidRDefault="00CC180B" w:rsidP="00CC180B">
      <w:pPr>
        <w:pStyle w:val="Notedebasdepage"/>
        <w:rPr>
          <w:rFonts w:ascii="Times New Roman" w:hAnsi="Times New Roman" w:cs="Times New Roman"/>
          <w:sz w:val="16"/>
          <w:szCs w:val="16"/>
        </w:rPr>
      </w:pPr>
      <w:r>
        <w:rPr>
          <w:rStyle w:val="Appelnotedebasdep"/>
          <w:sz w:val="16"/>
          <w:szCs w:val="16"/>
        </w:rPr>
        <w:footnoteRef/>
      </w:r>
      <w:r>
        <w:rPr>
          <w:sz w:val="16"/>
          <w:szCs w:val="16"/>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744"/>
    <w:multiLevelType w:val="hybridMultilevel"/>
    <w:tmpl w:val="0AE8B3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9ED1FB8"/>
    <w:multiLevelType w:val="hybridMultilevel"/>
    <w:tmpl w:val="63D6667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4431C2D"/>
    <w:multiLevelType w:val="multilevel"/>
    <w:tmpl w:val="4FCA8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5465D"/>
    <w:multiLevelType w:val="hybridMultilevel"/>
    <w:tmpl w:val="1D767A2E"/>
    <w:lvl w:ilvl="0" w:tplc="01A43A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E2755B"/>
    <w:multiLevelType w:val="hybridMultilevel"/>
    <w:tmpl w:val="2F4A9A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B390A86"/>
    <w:multiLevelType w:val="multilevel"/>
    <w:tmpl w:val="4FCA8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1515053">
    <w:abstractNumId w:val="2"/>
  </w:num>
  <w:num w:numId="2" w16cid:durableId="300574771">
    <w:abstractNumId w:val="4"/>
  </w:num>
  <w:num w:numId="3" w16cid:durableId="28997547">
    <w:abstractNumId w:val="1"/>
  </w:num>
  <w:num w:numId="4" w16cid:durableId="1991514853">
    <w:abstractNumId w:val="5"/>
  </w:num>
  <w:num w:numId="5" w16cid:durableId="911307429">
    <w:abstractNumId w:val="3"/>
  </w:num>
  <w:num w:numId="6" w16cid:durableId="812452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198826">
    <w:abstractNumId w:val="4"/>
  </w:num>
  <w:num w:numId="8" w16cid:durableId="46035464">
    <w:abstractNumId w:val="1"/>
  </w:num>
  <w:num w:numId="9" w16cid:durableId="1494950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68"/>
    <w:rsid w:val="001058B2"/>
    <w:rsid w:val="00167A6E"/>
    <w:rsid w:val="002F0A7C"/>
    <w:rsid w:val="00522646"/>
    <w:rsid w:val="00621672"/>
    <w:rsid w:val="00734599"/>
    <w:rsid w:val="007440E3"/>
    <w:rsid w:val="00A16A36"/>
    <w:rsid w:val="00A51600"/>
    <w:rsid w:val="00AC58E7"/>
    <w:rsid w:val="00B50E2E"/>
    <w:rsid w:val="00CB60DF"/>
    <w:rsid w:val="00CC180B"/>
    <w:rsid w:val="00EC5A8C"/>
    <w:rsid w:val="00EE048F"/>
    <w:rsid w:val="00F07C27"/>
    <w:rsid w:val="00F63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069"/>
  <w15:chartTrackingRefBased/>
  <w15:docId w15:val="{E2F2A4E2-DF82-4CAD-B9A1-3384EE05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68"/>
    <w:rPr>
      <w:rFonts w:eastAsiaTheme="minorEastAsia"/>
      <w:lang w:eastAsia="fr-FR"/>
    </w:rPr>
  </w:style>
  <w:style w:type="paragraph" w:styleId="Titre1">
    <w:name w:val="heading 1"/>
    <w:basedOn w:val="Normal"/>
    <w:next w:val="Normal"/>
    <w:link w:val="Titre1Car"/>
    <w:uiPriority w:val="9"/>
    <w:qFormat/>
    <w:rsid w:val="00F63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63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630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630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630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630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0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0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0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0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630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630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630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630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630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0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0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068"/>
    <w:rPr>
      <w:rFonts w:eastAsiaTheme="majorEastAsia" w:cstheme="majorBidi"/>
      <w:color w:val="272727" w:themeColor="text1" w:themeTint="D8"/>
    </w:rPr>
  </w:style>
  <w:style w:type="paragraph" w:styleId="Titre">
    <w:name w:val="Title"/>
    <w:basedOn w:val="Normal"/>
    <w:next w:val="Normal"/>
    <w:link w:val="TitreCar"/>
    <w:uiPriority w:val="10"/>
    <w:qFormat/>
    <w:rsid w:val="00F6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0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0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0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068"/>
    <w:pPr>
      <w:spacing w:before="160"/>
      <w:jc w:val="center"/>
    </w:pPr>
    <w:rPr>
      <w:i/>
      <w:iCs/>
      <w:color w:val="404040" w:themeColor="text1" w:themeTint="BF"/>
    </w:rPr>
  </w:style>
  <w:style w:type="character" w:customStyle="1" w:styleId="CitationCar">
    <w:name w:val="Citation Car"/>
    <w:basedOn w:val="Policepardfaut"/>
    <w:link w:val="Citation"/>
    <w:uiPriority w:val="29"/>
    <w:rsid w:val="00F63068"/>
    <w:rPr>
      <w:i/>
      <w:iCs/>
      <w:color w:val="404040" w:themeColor="text1" w:themeTint="BF"/>
    </w:rPr>
  </w:style>
  <w:style w:type="paragraph" w:styleId="Paragraphedeliste">
    <w:name w:val="List Paragraph"/>
    <w:basedOn w:val="Normal"/>
    <w:link w:val="ParagraphedelisteCar"/>
    <w:uiPriority w:val="34"/>
    <w:qFormat/>
    <w:rsid w:val="00F63068"/>
    <w:pPr>
      <w:ind w:left="720"/>
      <w:contextualSpacing/>
    </w:pPr>
  </w:style>
  <w:style w:type="character" w:styleId="Accentuationintense">
    <w:name w:val="Intense Emphasis"/>
    <w:basedOn w:val="Policepardfaut"/>
    <w:uiPriority w:val="21"/>
    <w:qFormat/>
    <w:rsid w:val="00F63068"/>
    <w:rPr>
      <w:i/>
      <w:iCs/>
      <w:color w:val="2F5496" w:themeColor="accent1" w:themeShade="BF"/>
    </w:rPr>
  </w:style>
  <w:style w:type="paragraph" w:styleId="Citationintense">
    <w:name w:val="Intense Quote"/>
    <w:basedOn w:val="Normal"/>
    <w:next w:val="Normal"/>
    <w:link w:val="CitationintenseCar"/>
    <w:uiPriority w:val="30"/>
    <w:qFormat/>
    <w:rsid w:val="00F63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63068"/>
    <w:rPr>
      <w:i/>
      <w:iCs/>
      <w:color w:val="2F5496" w:themeColor="accent1" w:themeShade="BF"/>
    </w:rPr>
  </w:style>
  <w:style w:type="character" w:styleId="Rfrenceintense">
    <w:name w:val="Intense Reference"/>
    <w:basedOn w:val="Policepardfaut"/>
    <w:uiPriority w:val="32"/>
    <w:qFormat/>
    <w:rsid w:val="00F63068"/>
    <w:rPr>
      <w:b/>
      <w:bCs/>
      <w:smallCaps/>
      <w:color w:val="2F5496" w:themeColor="accent1" w:themeShade="BF"/>
      <w:spacing w:val="5"/>
    </w:rPr>
  </w:style>
  <w:style w:type="character" w:customStyle="1" w:styleId="ParagraphedelisteCar">
    <w:name w:val="Paragraphe de liste Car"/>
    <w:link w:val="Paragraphedeliste"/>
    <w:uiPriority w:val="34"/>
    <w:rsid w:val="00CB60DF"/>
    <w:rPr>
      <w:rFonts w:eastAsiaTheme="minorEastAsia"/>
      <w:lang w:eastAsia="fr-FR"/>
    </w:rPr>
  </w:style>
  <w:style w:type="paragraph" w:styleId="Notedebasdepage">
    <w:name w:val="footnote text"/>
    <w:basedOn w:val="Normal"/>
    <w:link w:val="NotedebasdepageCar"/>
    <w:uiPriority w:val="99"/>
    <w:semiHidden/>
    <w:unhideWhenUsed/>
    <w:rsid w:val="00CC18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180B"/>
    <w:rPr>
      <w:rFonts w:eastAsiaTheme="minorEastAsia"/>
      <w:sz w:val="20"/>
      <w:szCs w:val="20"/>
      <w:lang w:eastAsia="fr-FR"/>
    </w:rPr>
  </w:style>
  <w:style w:type="character" w:styleId="Appelnotedebasdep">
    <w:name w:val="footnote reference"/>
    <w:basedOn w:val="Policepardfaut"/>
    <w:uiPriority w:val="99"/>
    <w:semiHidden/>
    <w:unhideWhenUsed/>
    <w:rsid w:val="00CC180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1159</Words>
  <Characters>6380</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7</cp:revision>
  <dcterms:created xsi:type="dcterms:W3CDTF">2025-12-07T00:14:00Z</dcterms:created>
  <dcterms:modified xsi:type="dcterms:W3CDTF">2026-01-05T10:14:00Z</dcterms:modified>
</cp:coreProperties>
</file>